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47D54">
      <w:pPr>
        <w:spacing w:line="560" w:lineRule="exact"/>
        <w:rPr>
          <w:rFonts w:ascii="仿宋" w:eastAsia="仿宋" w:hAnsi="仿宋" w:cs="仿宋" w:hint="eastAsia"/>
          <w:sz w:val="30"/>
          <w:szCs w:val="30"/>
        </w:rPr>
      </w:pPr>
      <w:r>
        <w:rPr>
          <w:rFonts w:ascii="仿宋" w:eastAsia="仿宋" w:hAnsi="仿宋" w:cs="仿宋" w:hint="eastAsia"/>
          <w:sz w:val="30"/>
          <w:szCs w:val="30"/>
        </w:rPr>
        <w:t>附件一</w:t>
      </w:r>
    </w:p>
    <w:p w:rsidR="00000000" w:rsidRDefault="00A47D54">
      <w:pPr>
        <w:shd w:val="solid" w:color="FFFFFF" w:fill="auto"/>
        <w:autoSpaceDN w:val="0"/>
        <w:spacing w:before="150" w:after="330" w:line="300" w:lineRule="atLeast"/>
        <w:ind w:left="150" w:right="150"/>
        <w:jc w:val="center"/>
        <w:rPr>
          <w:rFonts w:ascii="方正小标宋_GBK" w:eastAsia="方正小标宋_GBK" w:hAnsi="方正小标宋_GBK" w:cs="方正小标宋_GBK" w:hint="eastAsia"/>
          <w:bCs/>
          <w:color w:val="000000"/>
          <w:sz w:val="36"/>
          <w:szCs w:val="36"/>
          <w:shd w:val="clear" w:color="auto" w:fill="FFFFFF"/>
        </w:rPr>
      </w:pPr>
      <w:r>
        <w:rPr>
          <w:rFonts w:ascii="方正小标宋_GBK" w:eastAsia="方正小标宋_GBK" w:hAnsi="方正小标宋_GBK" w:cs="方正小标宋_GBK" w:hint="eastAsia"/>
          <w:bCs/>
          <w:color w:val="000000"/>
          <w:sz w:val="36"/>
          <w:szCs w:val="36"/>
          <w:shd w:val="clear" w:color="auto" w:fill="FFFFFF"/>
        </w:rPr>
        <w:t>中共教育部党组关于印发《普通高等学校辅导员培训规划（</w:t>
      </w:r>
      <w:r>
        <w:rPr>
          <w:rFonts w:ascii="方正小标宋_GBK" w:eastAsia="方正小标宋_GBK" w:hAnsi="方正小标宋_GBK" w:cs="方正小标宋_GBK" w:hint="eastAsia"/>
          <w:bCs/>
          <w:color w:val="000000"/>
          <w:sz w:val="36"/>
          <w:szCs w:val="36"/>
          <w:shd w:val="clear" w:color="auto" w:fill="FFFFFF"/>
        </w:rPr>
        <w:t>2013-2017</w:t>
      </w:r>
      <w:r>
        <w:rPr>
          <w:rFonts w:ascii="方正小标宋_GBK" w:eastAsia="方正小标宋_GBK" w:hAnsi="方正小标宋_GBK" w:cs="方正小标宋_GBK" w:hint="eastAsia"/>
          <w:bCs/>
          <w:color w:val="000000"/>
          <w:sz w:val="36"/>
          <w:szCs w:val="36"/>
          <w:shd w:val="clear" w:color="auto" w:fill="FFFFFF"/>
        </w:rPr>
        <w:t>年）》的通知</w:t>
      </w:r>
    </w:p>
    <w:p w:rsidR="00000000" w:rsidRDefault="00A47D54">
      <w:pPr>
        <w:shd w:val="solid" w:color="FFFFFF" w:fill="auto"/>
        <w:autoSpaceDN w:val="0"/>
        <w:spacing w:line="500" w:lineRule="exact"/>
        <w:ind w:left="150" w:right="150"/>
        <w:jc w:val="right"/>
        <w:rPr>
          <w:rFonts w:ascii="Verdana"/>
          <w:color w:val="000000"/>
          <w:sz w:val="28"/>
          <w:szCs w:val="28"/>
          <w:shd w:val="clear" w:color="auto" w:fill="FFFFFF"/>
        </w:rPr>
      </w:pPr>
      <w:r>
        <w:rPr>
          <w:rFonts w:ascii="Verdana"/>
          <w:color w:val="000000"/>
          <w:sz w:val="28"/>
          <w:szCs w:val="28"/>
          <w:shd w:val="clear" w:color="auto" w:fill="FFFFFF"/>
        </w:rPr>
        <w:t>教党</w:t>
      </w:r>
      <w:r>
        <w:rPr>
          <w:rFonts w:ascii="Verdana"/>
          <w:color w:val="000000"/>
          <w:sz w:val="28"/>
          <w:szCs w:val="28"/>
          <w:shd w:val="clear" w:color="auto" w:fill="FFFFFF"/>
        </w:rPr>
        <w:t>[2013]9</w:t>
      </w:r>
      <w:r>
        <w:rPr>
          <w:rFonts w:ascii="Verdana"/>
          <w:color w:val="000000"/>
          <w:sz w:val="28"/>
          <w:szCs w:val="28"/>
          <w:shd w:val="clear" w:color="auto" w:fill="FFFFFF"/>
        </w:rPr>
        <w:t xml:space="preserve">号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各省、自治区、直辖市党委教育工作部门、教育厅（教委），新疆生产建设兵团教育局，部属各高等学校党委：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现将我部《普通高等学校辅导员培训规划（</w:t>
      </w:r>
      <w:r>
        <w:rPr>
          <w:rFonts w:ascii="Verdana"/>
          <w:color w:val="000000"/>
          <w:sz w:val="28"/>
          <w:szCs w:val="28"/>
          <w:shd w:val="clear" w:color="auto" w:fill="FFFFFF"/>
        </w:rPr>
        <w:t>2013</w:t>
      </w:r>
      <w:r>
        <w:rPr>
          <w:rFonts w:ascii="Verdana"/>
          <w:color w:val="000000"/>
          <w:sz w:val="28"/>
          <w:szCs w:val="28"/>
          <w:shd w:val="clear" w:color="auto" w:fill="FFFFFF"/>
        </w:rPr>
        <w:t>—</w:t>
      </w:r>
      <w:r>
        <w:rPr>
          <w:rFonts w:ascii="Verdana"/>
          <w:color w:val="000000"/>
          <w:sz w:val="28"/>
          <w:szCs w:val="28"/>
          <w:shd w:val="clear" w:color="auto" w:fill="FFFFFF"/>
        </w:rPr>
        <w:t>2017</w:t>
      </w:r>
      <w:r>
        <w:rPr>
          <w:rFonts w:ascii="Verdana"/>
          <w:color w:val="000000"/>
          <w:sz w:val="28"/>
          <w:szCs w:val="28"/>
          <w:shd w:val="clear" w:color="auto" w:fill="FFFFFF"/>
        </w:rPr>
        <w:t>年）》印发给你们，请结合本地本校实际情况，认真贯彻执行。各地制定的实施方案和政策措施请及时报送我部思想政治工作司。</w:t>
      </w:r>
    </w:p>
    <w:p w:rsidR="00000000" w:rsidRDefault="00A47D54">
      <w:pPr>
        <w:shd w:val="solid" w:color="FFFFFF" w:fill="auto"/>
        <w:autoSpaceDN w:val="0"/>
        <w:spacing w:line="500" w:lineRule="exact"/>
        <w:ind w:left="150" w:right="150"/>
        <w:jc w:val="right"/>
        <w:rPr>
          <w:rFonts w:ascii="Verdana"/>
          <w:color w:val="000000"/>
          <w:sz w:val="28"/>
          <w:szCs w:val="28"/>
          <w:shd w:val="clear" w:color="auto" w:fill="FFFFFF"/>
        </w:rPr>
      </w:pPr>
      <w:r>
        <w:rPr>
          <w:rFonts w:ascii="Verdana"/>
          <w:color w:val="000000"/>
          <w:sz w:val="28"/>
          <w:szCs w:val="28"/>
          <w:shd w:val="clear" w:color="auto" w:fill="FFFFFF"/>
        </w:rPr>
        <w:t xml:space="preserve">　　中共教育部</w:t>
      </w:r>
      <w:r>
        <w:rPr>
          <w:rFonts w:ascii="Verdana"/>
          <w:color w:val="000000"/>
          <w:sz w:val="28"/>
          <w:szCs w:val="28"/>
          <w:shd w:val="clear" w:color="auto" w:fill="FFFFFF"/>
        </w:rPr>
        <w:t xml:space="preserve">党组　</w:t>
      </w:r>
    </w:p>
    <w:p w:rsidR="00000000" w:rsidRDefault="00A47D54">
      <w:pPr>
        <w:shd w:val="solid" w:color="FFFFFF" w:fill="auto"/>
        <w:autoSpaceDN w:val="0"/>
        <w:spacing w:line="500" w:lineRule="exact"/>
        <w:ind w:left="150" w:right="150"/>
        <w:jc w:val="right"/>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color w:val="000000"/>
          <w:sz w:val="28"/>
          <w:szCs w:val="28"/>
          <w:shd w:val="clear" w:color="auto" w:fill="FFFFFF"/>
        </w:rPr>
        <w:t>2013</w:t>
      </w:r>
      <w:r>
        <w:rPr>
          <w:rFonts w:ascii="Verdana"/>
          <w:color w:val="000000"/>
          <w:sz w:val="28"/>
          <w:szCs w:val="28"/>
          <w:shd w:val="clear" w:color="auto" w:fill="FFFFFF"/>
        </w:rPr>
        <w:t>年</w:t>
      </w:r>
      <w:r>
        <w:rPr>
          <w:rFonts w:ascii="Verdana"/>
          <w:color w:val="000000"/>
          <w:sz w:val="28"/>
          <w:szCs w:val="28"/>
          <w:shd w:val="clear" w:color="auto" w:fill="FFFFFF"/>
        </w:rPr>
        <w:t>5</w:t>
      </w:r>
      <w:r>
        <w:rPr>
          <w:rFonts w:ascii="Verdana"/>
          <w:color w:val="000000"/>
          <w:sz w:val="28"/>
          <w:szCs w:val="28"/>
          <w:shd w:val="clear" w:color="auto" w:fill="FFFFFF"/>
        </w:rPr>
        <w:t>月</w:t>
      </w:r>
      <w:r>
        <w:rPr>
          <w:rFonts w:ascii="Verdana"/>
          <w:color w:val="000000"/>
          <w:sz w:val="28"/>
          <w:szCs w:val="28"/>
          <w:shd w:val="clear" w:color="auto" w:fill="FFFFFF"/>
        </w:rPr>
        <w:t>3</w:t>
      </w:r>
      <w:r>
        <w:rPr>
          <w:rFonts w:ascii="Verdana"/>
          <w:color w:val="000000"/>
          <w:sz w:val="28"/>
          <w:szCs w:val="28"/>
          <w:shd w:val="clear" w:color="auto" w:fill="FFFFFF"/>
        </w:rPr>
        <w:t xml:space="preserve">日　</w:t>
      </w:r>
    </w:p>
    <w:p w:rsidR="00000000" w:rsidRDefault="00A47D54">
      <w:pPr>
        <w:shd w:val="solid" w:color="FFFFFF" w:fill="auto"/>
        <w:autoSpaceDN w:val="0"/>
        <w:spacing w:line="500" w:lineRule="exact"/>
        <w:ind w:left="150" w:right="150"/>
        <w:rPr>
          <w:rFonts w:ascii="Verdana"/>
          <w:b/>
          <w:color w:val="0000FF"/>
          <w:sz w:val="28"/>
          <w:szCs w:val="28"/>
          <w:shd w:val="clear" w:color="auto" w:fill="FFFFFF"/>
        </w:rPr>
      </w:pP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b/>
          <w:color w:val="0000FF"/>
          <w:sz w:val="28"/>
          <w:szCs w:val="28"/>
          <w:shd w:val="clear" w:color="auto" w:fill="FFFFFF"/>
        </w:rPr>
        <w:t>附件</w:t>
      </w:r>
      <w:r>
        <w:rPr>
          <w:rFonts w:ascii="Verdana"/>
          <w:color w:val="000000"/>
          <w:sz w:val="28"/>
          <w:szCs w:val="28"/>
          <w:shd w:val="clear" w:color="auto" w:fill="FFFFFF"/>
        </w:rPr>
        <w:t xml:space="preserve">　</w:t>
      </w:r>
    </w:p>
    <w:p w:rsidR="00000000" w:rsidRDefault="00A47D54">
      <w:pPr>
        <w:shd w:val="solid" w:color="FFFFFF" w:fill="auto"/>
        <w:autoSpaceDN w:val="0"/>
        <w:spacing w:line="500" w:lineRule="exact"/>
        <w:ind w:left="150" w:right="150"/>
        <w:jc w:val="center"/>
        <w:rPr>
          <w:rFonts w:ascii="Verdana"/>
          <w:color w:val="000000"/>
          <w:sz w:val="28"/>
          <w:szCs w:val="28"/>
          <w:shd w:val="clear" w:color="auto" w:fill="FFFFFF"/>
        </w:rPr>
      </w:pPr>
      <w:r>
        <w:rPr>
          <w:rFonts w:ascii="黑体" w:eastAsia="黑体" w:hAnsi="黑体" w:hint="eastAsia"/>
          <w:bCs/>
          <w:sz w:val="32"/>
          <w:szCs w:val="32"/>
          <w:shd w:val="clear" w:color="auto" w:fill="FFFFFF"/>
        </w:rPr>
        <w:t>普通高等学校辅导员培训规划（</w:t>
      </w:r>
      <w:r>
        <w:rPr>
          <w:rFonts w:ascii="黑体" w:eastAsia="黑体" w:hAnsi="黑体" w:hint="eastAsia"/>
          <w:bCs/>
          <w:sz w:val="32"/>
          <w:szCs w:val="32"/>
          <w:shd w:val="clear" w:color="auto" w:fill="FFFFFF"/>
        </w:rPr>
        <w:t>2013</w:t>
      </w:r>
      <w:r>
        <w:rPr>
          <w:rFonts w:ascii="黑体" w:eastAsia="黑体" w:hAnsi="黑体" w:hint="eastAsia"/>
          <w:bCs/>
          <w:sz w:val="32"/>
          <w:szCs w:val="32"/>
          <w:shd w:val="clear" w:color="auto" w:fill="FFFFFF"/>
        </w:rPr>
        <w:t>—</w:t>
      </w:r>
      <w:r>
        <w:rPr>
          <w:rFonts w:ascii="黑体" w:eastAsia="黑体" w:hAnsi="黑体" w:hint="eastAsia"/>
          <w:bCs/>
          <w:sz w:val="32"/>
          <w:szCs w:val="32"/>
          <w:shd w:val="clear" w:color="auto" w:fill="FFFFFF"/>
        </w:rPr>
        <w:t>2017</w:t>
      </w:r>
      <w:r>
        <w:rPr>
          <w:rFonts w:ascii="黑体" w:eastAsia="黑体" w:hAnsi="黑体" w:hint="eastAsia"/>
          <w:bCs/>
          <w:sz w:val="32"/>
          <w:szCs w:val="32"/>
          <w:shd w:val="clear" w:color="auto" w:fill="FFFFFF"/>
        </w:rPr>
        <w:t>年）</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高校辅导员是高校教师队伍和管理干部队伍的重要组成部分，是开展大学生思想政治教育、促进校园和谐稳定的骨干力量。党中央、国务院历来高度重视高校辅导员队伍建设。党的十六大以来，按照《中共中央国务院关于进一步加强和改进大学生思想政治教育的意见》和《普通高等学校辅导员队伍建设规定》要求，全面加强辅导员队伍建设，取得积极成效。通过实施《</w:t>
      </w:r>
      <w:r>
        <w:rPr>
          <w:rFonts w:ascii="Verdana"/>
          <w:color w:val="000000"/>
          <w:sz w:val="28"/>
          <w:szCs w:val="28"/>
          <w:shd w:val="clear" w:color="auto" w:fill="FFFFFF"/>
        </w:rPr>
        <w:t>2006</w:t>
      </w:r>
      <w:r>
        <w:rPr>
          <w:rFonts w:ascii="Verdana"/>
          <w:color w:val="000000"/>
          <w:sz w:val="28"/>
          <w:szCs w:val="28"/>
          <w:shd w:val="clear" w:color="auto" w:fill="FFFFFF"/>
        </w:rPr>
        <w:t>—</w:t>
      </w:r>
      <w:r>
        <w:rPr>
          <w:rFonts w:ascii="Verdana"/>
          <w:color w:val="000000"/>
          <w:sz w:val="28"/>
          <w:szCs w:val="28"/>
          <w:shd w:val="clear" w:color="auto" w:fill="FFFFFF"/>
        </w:rPr>
        <w:t>2010</w:t>
      </w:r>
      <w:r>
        <w:rPr>
          <w:rFonts w:ascii="Verdana"/>
          <w:color w:val="000000"/>
          <w:sz w:val="28"/>
          <w:szCs w:val="28"/>
          <w:shd w:val="clear" w:color="auto" w:fill="FFFFFF"/>
        </w:rPr>
        <w:t>年普通高等学校辅导员培训计划》，辅导员思想政治素质、职业素养、业务水</w:t>
      </w:r>
      <w:r>
        <w:rPr>
          <w:rFonts w:ascii="Verdana"/>
          <w:color w:val="000000"/>
          <w:sz w:val="28"/>
          <w:szCs w:val="28"/>
          <w:shd w:val="clear" w:color="auto" w:fill="FFFFFF"/>
        </w:rPr>
        <w:t xml:space="preserve">平大幅提升，为大学生思想政治教育的科学发展提供了有力支撑。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为深入贯彻落实党的十八大精神，全面落实教育规划纲要，进一步提高辅导员培训质量，推进辅导员队伍建设，制定本规划。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一、指导思想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lastRenderedPageBreak/>
        <w:t xml:space="preserve">　　高举中国特色社会主义伟大旗帜，以邓小平理论、</w:t>
      </w:r>
      <w:r>
        <w:rPr>
          <w:rFonts w:ascii="Verdana"/>
          <w:color w:val="000000"/>
          <w:sz w:val="28"/>
          <w:szCs w:val="28"/>
          <w:shd w:val="clear" w:color="auto" w:fill="FFFFFF"/>
        </w:rPr>
        <w:t>“</w:t>
      </w:r>
      <w:r>
        <w:rPr>
          <w:rFonts w:ascii="Verdana"/>
          <w:color w:val="000000"/>
          <w:sz w:val="28"/>
          <w:szCs w:val="28"/>
          <w:shd w:val="clear" w:color="auto" w:fill="FFFFFF"/>
        </w:rPr>
        <w:t>三个代表</w:t>
      </w:r>
      <w:r>
        <w:rPr>
          <w:rFonts w:ascii="Verdana"/>
          <w:color w:val="000000"/>
          <w:sz w:val="28"/>
          <w:szCs w:val="28"/>
          <w:shd w:val="clear" w:color="auto" w:fill="FFFFFF"/>
        </w:rPr>
        <w:t>”</w:t>
      </w:r>
      <w:r>
        <w:rPr>
          <w:rFonts w:ascii="Verdana"/>
          <w:color w:val="000000"/>
          <w:sz w:val="28"/>
          <w:szCs w:val="28"/>
          <w:shd w:val="clear" w:color="auto" w:fill="FFFFFF"/>
        </w:rPr>
        <w:t>重要思想、科学发展观为指导，全面贯彻党的教育方针，落实立德树人根本任务，以促进辅导员专业化、职业化和可持续发展为导向，以构建完善的培训体系为基础，以提高培训能力为重点，以创新培训方式为手段，以提高培训质量为目标，努力造就一支政治强、业务精、纪律严、作风</w:t>
      </w:r>
      <w:r>
        <w:rPr>
          <w:rFonts w:ascii="Verdana"/>
          <w:color w:val="000000"/>
          <w:sz w:val="28"/>
          <w:szCs w:val="28"/>
          <w:shd w:val="clear" w:color="auto" w:fill="FFFFFF"/>
        </w:rPr>
        <w:t xml:space="preserve">正的高水平辅导员队伍，为不断提升大学生思想政治教育科学化水平，全面提高高等教育质量提供坚强的思想政治保障和人才支持。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二、主要目标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到</w:t>
      </w:r>
      <w:r>
        <w:rPr>
          <w:rFonts w:ascii="Verdana"/>
          <w:color w:val="000000"/>
          <w:sz w:val="28"/>
          <w:szCs w:val="28"/>
          <w:shd w:val="clear" w:color="auto" w:fill="FFFFFF"/>
        </w:rPr>
        <w:t>2017</w:t>
      </w:r>
      <w:r>
        <w:rPr>
          <w:rFonts w:ascii="Verdana"/>
          <w:color w:val="000000"/>
          <w:sz w:val="28"/>
          <w:szCs w:val="28"/>
          <w:shd w:val="clear" w:color="auto" w:fill="FFFFFF"/>
        </w:rPr>
        <w:t xml:space="preserve">年，基本形成适应高等教育发展需要、符合辅导员成长成才规律、规范科学的培训机制，基本构建起内容完善、形式多样、科学合理的培训体系，为全面提高辅导员队伍服务高等教育质量提升和高校学生全面发展的能力奠定坚实基础。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color w:val="000000"/>
          <w:sz w:val="28"/>
          <w:szCs w:val="28"/>
          <w:shd w:val="clear" w:color="auto" w:fill="FFFFFF"/>
        </w:rPr>
        <w:t>——</w:t>
      </w:r>
      <w:r>
        <w:rPr>
          <w:rFonts w:ascii="Verdana"/>
          <w:color w:val="000000"/>
          <w:sz w:val="28"/>
          <w:szCs w:val="28"/>
          <w:shd w:val="clear" w:color="auto" w:fill="FFFFFF"/>
        </w:rPr>
        <w:t>培训规模稳步提升。国家、省级、高校三级辅导员培训有序开展，国家级骨干示范培训</w:t>
      </w:r>
      <w:r>
        <w:rPr>
          <w:rFonts w:ascii="Verdana"/>
          <w:color w:val="000000"/>
          <w:sz w:val="28"/>
          <w:szCs w:val="28"/>
          <w:shd w:val="clear" w:color="auto" w:fill="FFFFFF"/>
        </w:rPr>
        <w:t>5</w:t>
      </w:r>
      <w:r>
        <w:rPr>
          <w:rFonts w:ascii="Verdana"/>
          <w:color w:val="000000"/>
          <w:sz w:val="28"/>
          <w:szCs w:val="28"/>
          <w:shd w:val="clear" w:color="auto" w:fill="FFFFFF"/>
        </w:rPr>
        <w:t>年达到</w:t>
      </w:r>
      <w:r>
        <w:rPr>
          <w:rFonts w:ascii="Verdana"/>
          <w:color w:val="000000"/>
          <w:sz w:val="28"/>
          <w:szCs w:val="28"/>
          <w:shd w:val="clear" w:color="auto" w:fill="FFFFFF"/>
        </w:rPr>
        <w:t>1</w:t>
      </w:r>
      <w:r>
        <w:rPr>
          <w:rFonts w:ascii="Verdana"/>
          <w:color w:val="000000"/>
          <w:sz w:val="28"/>
          <w:szCs w:val="28"/>
          <w:shd w:val="clear" w:color="auto" w:fill="FFFFFF"/>
        </w:rPr>
        <w:t>万人次，省级培训</w:t>
      </w:r>
      <w:r>
        <w:rPr>
          <w:rFonts w:ascii="Verdana"/>
          <w:color w:val="000000"/>
          <w:sz w:val="28"/>
          <w:szCs w:val="28"/>
          <w:shd w:val="clear" w:color="auto" w:fill="FFFFFF"/>
        </w:rPr>
        <w:t>5</w:t>
      </w:r>
      <w:r>
        <w:rPr>
          <w:rFonts w:ascii="Verdana"/>
          <w:color w:val="000000"/>
          <w:sz w:val="28"/>
          <w:szCs w:val="28"/>
          <w:shd w:val="clear" w:color="auto" w:fill="FFFFFF"/>
        </w:rPr>
        <w:t>年内实现轮训一遍，校级培训实现全员化</w:t>
      </w:r>
      <w:r>
        <w:rPr>
          <w:rFonts w:ascii="Verdana"/>
          <w:color w:val="000000"/>
          <w:sz w:val="28"/>
          <w:szCs w:val="28"/>
          <w:shd w:val="clear" w:color="auto" w:fill="FFFFFF"/>
        </w:rPr>
        <w:t xml:space="preserve">、全覆盖要求。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color w:val="000000"/>
          <w:sz w:val="28"/>
          <w:szCs w:val="28"/>
          <w:shd w:val="clear" w:color="auto" w:fill="FFFFFF"/>
        </w:rPr>
        <w:t>——</w:t>
      </w:r>
      <w:r>
        <w:rPr>
          <w:rFonts w:ascii="Verdana"/>
          <w:color w:val="000000"/>
          <w:sz w:val="28"/>
          <w:szCs w:val="28"/>
          <w:shd w:val="clear" w:color="auto" w:fill="FFFFFF"/>
        </w:rPr>
        <w:t xml:space="preserve">培训质量显著提高。符合辅导员职业特点、成长规律、发展需求的辅导员能力标准基本建立，培训课程体系更加规范完备，学历提升、社会实践、国内交流、海外研修等培训项目更加丰富，培训方式创新不断深入，培训评估制度更加成熟完善。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color w:val="000000"/>
          <w:sz w:val="28"/>
          <w:szCs w:val="28"/>
          <w:shd w:val="clear" w:color="auto" w:fill="FFFFFF"/>
        </w:rPr>
        <w:t>——</w:t>
      </w:r>
      <w:r>
        <w:rPr>
          <w:rFonts w:ascii="Verdana"/>
          <w:color w:val="000000"/>
          <w:sz w:val="28"/>
          <w:szCs w:val="28"/>
          <w:shd w:val="clear" w:color="auto" w:fill="FFFFFF"/>
        </w:rPr>
        <w:t xml:space="preserve">培训基础能力建设不断加强。优质培训资源得到高效利用，网络培训平台和资源建设不断加强，培训基地功能进一步发挥，师资队伍水平显著提高，持续有效的经费投入机制建立健全，保障更加有力。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color w:val="000000"/>
          <w:sz w:val="28"/>
          <w:szCs w:val="28"/>
          <w:shd w:val="clear" w:color="auto" w:fill="FFFFFF"/>
        </w:rPr>
        <w:t>——</w:t>
      </w:r>
      <w:r>
        <w:rPr>
          <w:rFonts w:ascii="Verdana"/>
          <w:color w:val="000000"/>
          <w:sz w:val="28"/>
          <w:szCs w:val="28"/>
          <w:shd w:val="clear" w:color="auto" w:fill="FFFFFF"/>
        </w:rPr>
        <w:t>高校辅导员整体素质全面提升。辅导员理想信念更加坚定，育人能力显著提高，作</w:t>
      </w:r>
      <w:r>
        <w:rPr>
          <w:rFonts w:ascii="Verdana"/>
          <w:color w:val="000000"/>
          <w:sz w:val="28"/>
          <w:szCs w:val="28"/>
          <w:shd w:val="clear" w:color="auto" w:fill="FFFFFF"/>
        </w:rPr>
        <w:t>风修养持续提升，共同职业目标和价值追求进一步深化，培养社会主义建设者和接班人的自觉性坚定性不</w:t>
      </w:r>
      <w:r>
        <w:rPr>
          <w:rFonts w:ascii="Verdana"/>
          <w:color w:val="000000"/>
          <w:sz w:val="28"/>
          <w:szCs w:val="28"/>
          <w:shd w:val="clear" w:color="auto" w:fill="FFFFFF"/>
        </w:rPr>
        <w:lastRenderedPageBreak/>
        <w:t xml:space="preserve">断增强。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三、培训内容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1</w:t>
      </w:r>
      <w:r>
        <w:rPr>
          <w:rFonts w:ascii="Verdana"/>
          <w:b/>
          <w:color w:val="000000"/>
          <w:sz w:val="28"/>
          <w:szCs w:val="28"/>
          <w:shd w:val="clear" w:color="auto" w:fill="FFFFFF"/>
        </w:rPr>
        <w:t>．思想政治理论教育</w:t>
      </w:r>
      <w:r>
        <w:rPr>
          <w:rFonts w:ascii="Verdana"/>
          <w:color w:val="000000"/>
          <w:sz w:val="28"/>
          <w:szCs w:val="28"/>
          <w:shd w:val="clear" w:color="auto" w:fill="FFFFFF"/>
        </w:rPr>
        <w:t xml:space="preserve">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马克思主义基本理论和党的创新理论教育。以学习贯彻党的十八大精神，掌握中国特色社会主义理论体系为重点，加强邓小平理论、</w:t>
      </w:r>
      <w:r>
        <w:rPr>
          <w:rFonts w:ascii="Verdana"/>
          <w:color w:val="000000"/>
          <w:sz w:val="28"/>
          <w:szCs w:val="28"/>
          <w:shd w:val="clear" w:color="auto" w:fill="FFFFFF"/>
        </w:rPr>
        <w:t>“</w:t>
      </w:r>
      <w:r>
        <w:rPr>
          <w:rFonts w:ascii="Verdana"/>
          <w:color w:val="000000"/>
          <w:sz w:val="28"/>
          <w:szCs w:val="28"/>
          <w:shd w:val="clear" w:color="auto" w:fill="FFFFFF"/>
        </w:rPr>
        <w:t>三个代表</w:t>
      </w:r>
      <w:r>
        <w:rPr>
          <w:rFonts w:ascii="Verdana"/>
          <w:color w:val="000000"/>
          <w:sz w:val="28"/>
          <w:szCs w:val="28"/>
          <w:shd w:val="clear" w:color="auto" w:fill="FFFFFF"/>
        </w:rPr>
        <w:t>”</w:t>
      </w:r>
      <w:r>
        <w:rPr>
          <w:rFonts w:ascii="Verdana"/>
          <w:color w:val="000000"/>
          <w:sz w:val="28"/>
          <w:szCs w:val="28"/>
          <w:shd w:val="clear" w:color="auto" w:fill="FFFFFF"/>
        </w:rPr>
        <w:t>重要思想、科学发展观学习教育，加深对当代中国马克思主义实践特色、理论特色、民族特色、时代特色的理解，准确把握建设中国特色社会主义的总依据、总布局、总任务，进一步坚定道路自信、理论自信、制度自信，为实现中国特色社会主义共同理想而奋</w:t>
      </w:r>
      <w:r>
        <w:rPr>
          <w:rFonts w:ascii="Verdana"/>
          <w:color w:val="000000"/>
          <w:sz w:val="28"/>
          <w:szCs w:val="28"/>
          <w:shd w:val="clear" w:color="auto" w:fill="FFFFFF"/>
        </w:rPr>
        <w:t xml:space="preserve">斗。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形势与政策教育。以正确认识中国特色社会主义建设面临的形势任务和当代大学生的使命责任为重点，加强对改革开放和社会主义现代化建设的形势、任务和成就教育，对党和国家重大方针政策、重大改革措施教育，对当前国际形势、国际关系状况和我国对外政策的教育，对教育改革发展稳定形势和任务教育。</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2</w:t>
      </w:r>
      <w:r>
        <w:rPr>
          <w:rFonts w:ascii="Verdana"/>
          <w:b/>
          <w:color w:val="000000"/>
          <w:sz w:val="28"/>
          <w:szCs w:val="28"/>
          <w:shd w:val="clear" w:color="auto" w:fill="FFFFFF"/>
        </w:rPr>
        <w:t xml:space="preserve">．专业素养提升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职业道德素质提升。以树立爱生敬业的职业理想为重点，抓住辅导员职业道德培养重要环节，教育引导辅导员牢固树立正确的世界观、人生观、价值观，忠诚于党的教育事业，形成坚定的政治信念、高尚的精神追求、良好的</w:t>
      </w:r>
      <w:r>
        <w:rPr>
          <w:rFonts w:ascii="Verdana"/>
          <w:color w:val="000000"/>
          <w:sz w:val="28"/>
          <w:szCs w:val="28"/>
          <w:shd w:val="clear" w:color="auto" w:fill="FFFFFF"/>
        </w:rPr>
        <w:t xml:space="preserve">职业操守。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科学文化素质提升。分层分类进行政治学、教育学、社会学、心理学、民族学、传播学、哲学、历史学、法学、经济学、管理学、艺术学等多学科知识教育，提高辅导员综合素质和能力。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思想政治教育专业素质提升。进行思想政治教育基本原理方法、思想政治教育历史发展、比较思想政治教育、思想政治教育研究方法等专业素质教育，指导辅导员把握高等教育规律和思想政治教育规律，围绕辅导员工作专业化建设以及大学生思想政治教育发</w:t>
      </w:r>
      <w:r>
        <w:rPr>
          <w:rFonts w:ascii="Verdana"/>
          <w:color w:val="000000"/>
          <w:sz w:val="28"/>
          <w:szCs w:val="28"/>
          <w:shd w:val="clear" w:color="auto" w:fill="FFFFFF"/>
        </w:rPr>
        <w:lastRenderedPageBreak/>
        <w:t xml:space="preserve">展中的理论和实际问题开展研究，推进理论探索和工作方式创新。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3</w:t>
      </w:r>
      <w:r>
        <w:rPr>
          <w:rFonts w:ascii="Verdana"/>
          <w:b/>
          <w:color w:val="000000"/>
          <w:sz w:val="28"/>
          <w:szCs w:val="28"/>
          <w:shd w:val="clear" w:color="auto" w:fill="FFFFFF"/>
        </w:rPr>
        <w:t xml:space="preserve">．职业能力培养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思想政</w:t>
      </w:r>
      <w:r>
        <w:rPr>
          <w:rFonts w:ascii="Verdana"/>
          <w:color w:val="000000"/>
          <w:sz w:val="28"/>
          <w:szCs w:val="28"/>
          <w:shd w:val="clear" w:color="auto" w:fill="FFFFFF"/>
        </w:rPr>
        <w:t xml:space="preserve">治教育基本能力培训。开展思想政治教育基本工作方法和能力培训，帮助辅导员掌握主题教育、个别谈心、党团活动、社会实践活动等思想政治教育的基本方法，提高辅导员开展思想政治教育的基本能力。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大学生党建工作培训。加强大学生党员教育、管理和发展工作培训，提高辅导员把握党员发展质量和开展基层党支部活动的能力。引导辅导员开展高校基层党建工作重要问题和热点难点问题以及前沿问题研究，提高党建工作针对性实效性。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学生事务管理培训。学习国内外高校学生事务管理成果经验，通过知识教育和职业能力教育相结合，提升辅导员团学与班</w:t>
      </w:r>
      <w:r>
        <w:rPr>
          <w:rFonts w:ascii="Verdana"/>
          <w:color w:val="000000"/>
          <w:sz w:val="28"/>
          <w:szCs w:val="28"/>
          <w:shd w:val="clear" w:color="auto" w:fill="FFFFFF"/>
        </w:rPr>
        <w:t xml:space="preserve">级工作的管理能力、学业辅导与就业创业指导能力，提高辅导员学生事务工作能力。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心理健康教育培训。开展大学生心理健康教育基本理论、基本方法和基本技能培训，加强讨论式、案例式、模拟式、体验式实践教学，提高辅导员疏导心理困惑开展心理咨询的能力、辅导学生发展的能力、参与应对和处理心理危机的能力。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运用网络能力培训。围绕网络社区运用、网络舆情管理、网上思想教育引导等内容，提高辅导员开展网上教育、管理、服务及网络引导能力。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职业生涯规划培训。开展职业生涯规划基础知识、基本理论和常用方法的培训，提高辅导员</w:t>
      </w:r>
      <w:r>
        <w:rPr>
          <w:rFonts w:ascii="Verdana"/>
          <w:color w:val="000000"/>
          <w:sz w:val="28"/>
          <w:szCs w:val="28"/>
          <w:shd w:val="clear" w:color="auto" w:fill="FFFFFF"/>
        </w:rPr>
        <w:t xml:space="preserve">指导学生进行职业生涯规划的能力，以更好地帮助学生树立正确的职业观、择业观、创业观、成才观，尽快适应社会、融入社会。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b/>
          <w:color w:val="000000"/>
          <w:sz w:val="28"/>
          <w:szCs w:val="28"/>
          <w:shd w:val="clear" w:color="auto" w:fill="FFFFFF"/>
        </w:rPr>
        <w:t xml:space="preserve">　　四、主要任务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b/>
          <w:color w:val="000000"/>
          <w:sz w:val="28"/>
          <w:szCs w:val="28"/>
          <w:shd w:val="clear" w:color="auto" w:fill="FFFFFF"/>
        </w:rPr>
        <w:t xml:space="preserve">　　</w:t>
      </w:r>
      <w:r>
        <w:rPr>
          <w:rFonts w:ascii="Verdana"/>
          <w:b/>
          <w:color w:val="000000"/>
          <w:sz w:val="28"/>
          <w:szCs w:val="28"/>
          <w:shd w:val="clear" w:color="auto" w:fill="FFFFFF"/>
        </w:rPr>
        <w:t>1</w:t>
      </w:r>
      <w:r>
        <w:rPr>
          <w:rFonts w:ascii="Verdana"/>
          <w:b/>
          <w:color w:val="000000"/>
          <w:sz w:val="28"/>
          <w:szCs w:val="28"/>
          <w:shd w:val="clear" w:color="auto" w:fill="FFFFFF"/>
        </w:rPr>
        <w:t xml:space="preserve">．建立健全多级培训网络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lastRenderedPageBreak/>
        <w:t xml:space="preserve">　　健全完善以教育部举办的全国高校辅导员示范培训为龙头，以教育部、省（区、市）高校辅导员培训和研修基地举办的专题培训、高级研修为重点，以高校举办的岗前培训、日常培训等各类培训为基础，分层次、全覆盖的三级辅导员培训体系。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2</w:t>
      </w:r>
      <w:r>
        <w:rPr>
          <w:rFonts w:ascii="Verdana"/>
          <w:b/>
          <w:color w:val="000000"/>
          <w:sz w:val="28"/>
          <w:szCs w:val="28"/>
          <w:shd w:val="clear" w:color="auto" w:fill="FFFFFF"/>
        </w:rPr>
        <w:t>．不断扩大培训覆盖面</w:t>
      </w:r>
      <w:r>
        <w:rPr>
          <w:rFonts w:ascii="Verdana"/>
          <w:color w:val="000000"/>
          <w:sz w:val="28"/>
          <w:szCs w:val="28"/>
          <w:shd w:val="clear" w:color="auto" w:fill="FFFFFF"/>
        </w:rPr>
        <w:t xml:space="preserve">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继续依托国家教育行政学院、教育部高校辅导员培训和研修基地等单位举办全国高校辅导员示范培</w:t>
      </w:r>
      <w:r>
        <w:rPr>
          <w:rFonts w:ascii="Verdana"/>
          <w:color w:val="000000"/>
          <w:sz w:val="28"/>
          <w:szCs w:val="28"/>
          <w:shd w:val="clear" w:color="auto" w:fill="FFFFFF"/>
        </w:rPr>
        <w:t>训，每年培训</w:t>
      </w:r>
      <w:r>
        <w:rPr>
          <w:rFonts w:ascii="Verdana"/>
          <w:color w:val="000000"/>
          <w:sz w:val="28"/>
          <w:szCs w:val="28"/>
          <w:shd w:val="clear" w:color="auto" w:fill="FFFFFF"/>
        </w:rPr>
        <w:t>2000</w:t>
      </w:r>
      <w:r>
        <w:rPr>
          <w:rFonts w:ascii="Verdana"/>
          <w:color w:val="000000"/>
          <w:sz w:val="28"/>
          <w:szCs w:val="28"/>
          <w:shd w:val="clear" w:color="auto" w:fill="FFFFFF"/>
        </w:rPr>
        <w:t xml:space="preserve">人次，重点向中西部地区、民族地区高校和民族院校倾斜。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各省（区、市）教育工作部门要加大省级辅导员培训力度，确保每一名专职辅导员每</w:t>
      </w:r>
      <w:r>
        <w:rPr>
          <w:rFonts w:ascii="Verdana"/>
          <w:color w:val="000000"/>
          <w:sz w:val="28"/>
          <w:szCs w:val="28"/>
          <w:shd w:val="clear" w:color="auto" w:fill="FFFFFF"/>
        </w:rPr>
        <w:t>5</w:t>
      </w:r>
      <w:r>
        <w:rPr>
          <w:rFonts w:ascii="Verdana"/>
          <w:color w:val="000000"/>
          <w:sz w:val="28"/>
          <w:szCs w:val="28"/>
          <w:shd w:val="clear" w:color="auto" w:fill="FFFFFF"/>
        </w:rPr>
        <w:t>年参加</w:t>
      </w:r>
      <w:r>
        <w:rPr>
          <w:rFonts w:ascii="Verdana"/>
          <w:color w:val="000000"/>
          <w:sz w:val="28"/>
          <w:szCs w:val="28"/>
          <w:shd w:val="clear" w:color="auto" w:fill="FFFFFF"/>
        </w:rPr>
        <w:t>1</w:t>
      </w:r>
      <w:r>
        <w:rPr>
          <w:rFonts w:ascii="Verdana"/>
          <w:color w:val="000000"/>
          <w:sz w:val="28"/>
          <w:szCs w:val="28"/>
          <w:shd w:val="clear" w:color="auto" w:fill="FFFFFF"/>
        </w:rPr>
        <w:t xml:space="preserve">次国家级或省级培训。教育部高校辅导员培训和研修基地在办好国家级示范培训和本省（区、市）培训外，要积极承担外省（区、市）委托的培训项目，发挥基地辐射作用。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高校要加强辅导员系统培训，每年开展不少于</w:t>
      </w:r>
      <w:r>
        <w:rPr>
          <w:rFonts w:ascii="Verdana"/>
          <w:color w:val="000000"/>
          <w:sz w:val="28"/>
          <w:szCs w:val="28"/>
          <w:shd w:val="clear" w:color="auto" w:fill="FFFFFF"/>
        </w:rPr>
        <w:t>4</w:t>
      </w:r>
      <w:r>
        <w:rPr>
          <w:rFonts w:ascii="Verdana"/>
          <w:color w:val="000000"/>
          <w:sz w:val="28"/>
          <w:szCs w:val="28"/>
          <w:shd w:val="clear" w:color="auto" w:fill="FFFFFF"/>
        </w:rPr>
        <w:t xml:space="preserve">次的校级培训，积极选送辅导员参加校外培训。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新任辅导员上岗前，要参加不少于</w:t>
      </w:r>
      <w:r>
        <w:rPr>
          <w:rFonts w:ascii="Verdana"/>
          <w:color w:val="000000"/>
          <w:sz w:val="28"/>
          <w:szCs w:val="28"/>
          <w:shd w:val="clear" w:color="auto" w:fill="FFFFFF"/>
        </w:rPr>
        <w:t>40</w:t>
      </w:r>
      <w:r>
        <w:rPr>
          <w:rFonts w:ascii="Verdana"/>
          <w:color w:val="000000"/>
          <w:sz w:val="28"/>
          <w:szCs w:val="28"/>
          <w:shd w:val="clear" w:color="auto" w:fill="FFFFFF"/>
        </w:rPr>
        <w:t>个学时的岗前培训。辅导员在岗期间每年要参加不少于</w:t>
      </w:r>
      <w:r>
        <w:rPr>
          <w:rFonts w:ascii="Verdana"/>
          <w:color w:val="000000"/>
          <w:sz w:val="28"/>
          <w:szCs w:val="28"/>
          <w:shd w:val="clear" w:color="auto" w:fill="FFFFFF"/>
        </w:rPr>
        <w:t>16</w:t>
      </w:r>
      <w:r>
        <w:rPr>
          <w:rFonts w:ascii="Verdana"/>
          <w:color w:val="000000"/>
          <w:sz w:val="28"/>
          <w:szCs w:val="28"/>
          <w:shd w:val="clear" w:color="auto" w:fill="FFFFFF"/>
        </w:rPr>
        <w:t>个学时的在</w:t>
      </w:r>
      <w:r>
        <w:rPr>
          <w:rFonts w:ascii="Verdana"/>
          <w:color w:val="000000"/>
          <w:sz w:val="28"/>
          <w:szCs w:val="28"/>
          <w:shd w:val="clear" w:color="auto" w:fill="FFFFFF"/>
        </w:rPr>
        <w:t xml:space="preserve">岗培训。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3</w:t>
      </w:r>
      <w:r>
        <w:rPr>
          <w:rFonts w:ascii="Verdana"/>
          <w:b/>
          <w:color w:val="000000"/>
          <w:sz w:val="28"/>
          <w:szCs w:val="28"/>
          <w:shd w:val="clear" w:color="auto" w:fill="FFFFFF"/>
        </w:rPr>
        <w:t xml:space="preserve">．加强基地建设和师资队伍建设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在稳步发展、保证质量的基础上，扩大教育部高校辅导员培训和研修基地布局。健全科学规范的基地工作评估机制，定期对基地建设情况进行检查考核。各省（区、市）要从政策、资源、项目等方面，支持教育部高校辅导员培训和研修基地建设，各省（区、市）要设立省级高校辅导员培训和研修基地，满足辅导员接受高层次培训的需要。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建立全国辅导员培训专家库。把思想政治教育等学科专家和中青年理论骨干吸收到师资库中，注重从学校党政领导、相关部门负责同志、离退休教授和优秀辅导员中选聘培训</w:t>
      </w:r>
      <w:r>
        <w:rPr>
          <w:rFonts w:ascii="Verdana"/>
          <w:color w:val="000000"/>
          <w:sz w:val="28"/>
          <w:szCs w:val="28"/>
          <w:shd w:val="clear" w:color="auto" w:fill="FFFFFF"/>
        </w:rPr>
        <w:t>师资，构建理论与实</w:t>
      </w:r>
      <w:r>
        <w:rPr>
          <w:rFonts w:ascii="Verdana"/>
          <w:color w:val="000000"/>
          <w:sz w:val="28"/>
          <w:szCs w:val="28"/>
          <w:shd w:val="clear" w:color="auto" w:fill="FFFFFF"/>
        </w:rPr>
        <w:lastRenderedPageBreak/>
        <w:t xml:space="preserve">践指导相结合的培训专家库，不断优化师资配置。有条件的省（区、市）要建立省级师资库，构建开放型师资格局，加强资源共享。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4</w:t>
      </w:r>
      <w:r>
        <w:rPr>
          <w:rFonts w:ascii="Verdana"/>
          <w:b/>
          <w:color w:val="000000"/>
          <w:sz w:val="28"/>
          <w:szCs w:val="28"/>
          <w:shd w:val="clear" w:color="auto" w:fill="FFFFFF"/>
        </w:rPr>
        <w:t xml:space="preserve">．加强课程和教材建设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积极吸收国内外研究最新成果和大学生思想政治教育有益经验，组织编写贴近工作实际的系列教材，制作课件和教案，逐步建立理论学习、能力训练和案例教学相结合的培训教材和课程体系。重点打造</w:t>
      </w:r>
      <w:r>
        <w:rPr>
          <w:rFonts w:ascii="Verdana"/>
          <w:color w:val="000000"/>
          <w:sz w:val="28"/>
          <w:szCs w:val="28"/>
          <w:shd w:val="clear" w:color="auto" w:fill="FFFFFF"/>
        </w:rPr>
        <w:t>5</w:t>
      </w:r>
      <w:r>
        <w:rPr>
          <w:rFonts w:ascii="Verdana"/>
          <w:color w:val="000000"/>
          <w:sz w:val="28"/>
          <w:szCs w:val="28"/>
          <w:shd w:val="clear" w:color="auto" w:fill="FFFFFF"/>
        </w:rPr>
        <w:t>本精品教材，形成</w:t>
      </w:r>
      <w:r>
        <w:rPr>
          <w:rFonts w:ascii="Verdana"/>
          <w:color w:val="000000"/>
          <w:sz w:val="28"/>
          <w:szCs w:val="28"/>
          <w:shd w:val="clear" w:color="auto" w:fill="FFFFFF"/>
        </w:rPr>
        <w:t>10</w:t>
      </w:r>
      <w:r>
        <w:rPr>
          <w:rFonts w:ascii="Verdana"/>
          <w:color w:val="000000"/>
          <w:sz w:val="28"/>
          <w:szCs w:val="28"/>
          <w:shd w:val="clear" w:color="auto" w:fill="FFFFFF"/>
        </w:rPr>
        <w:t xml:space="preserve">门精品课程。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5</w:t>
      </w:r>
      <w:r>
        <w:rPr>
          <w:rFonts w:ascii="Verdana"/>
          <w:b/>
          <w:color w:val="000000"/>
          <w:sz w:val="28"/>
          <w:szCs w:val="28"/>
          <w:shd w:val="clear" w:color="auto" w:fill="FFFFFF"/>
        </w:rPr>
        <w:t xml:space="preserve">．推动辅导员开展工作和学术研究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继续在教育部人文社会科学研究专项任务项目中设立辅导员专项，逐步加大项目经费支持力度</w:t>
      </w:r>
      <w:r>
        <w:rPr>
          <w:rFonts w:ascii="Verdana"/>
          <w:color w:val="000000"/>
          <w:sz w:val="28"/>
          <w:szCs w:val="28"/>
          <w:shd w:val="clear" w:color="auto" w:fill="FFFFFF"/>
        </w:rPr>
        <w:t>。鼓励辅导员积极参与</w:t>
      </w:r>
      <w:r>
        <w:rPr>
          <w:rFonts w:ascii="Verdana"/>
          <w:color w:val="000000"/>
          <w:sz w:val="28"/>
          <w:szCs w:val="28"/>
          <w:shd w:val="clear" w:color="auto" w:fill="FFFFFF"/>
        </w:rPr>
        <w:t>“</w:t>
      </w:r>
      <w:r>
        <w:rPr>
          <w:rFonts w:ascii="Verdana"/>
          <w:color w:val="000000"/>
          <w:sz w:val="28"/>
          <w:szCs w:val="28"/>
          <w:shd w:val="clear" w:color="auto" w:fill="FFFFFF"/>
        </w:rPr>
        <w:t>思想政治教育研究文库</w:t>
      </w:r>
      <w:r>
        <w:rPr>
          <w:rFonts w:ascii="Verdana"/>
          <w:color w:val="000000"/>
          <w:sz w:val="28"/>
          <w:szCs w:val="28"/>
          <w:shd w:val="clear" w:color="auto" w:fill="FFFFFF"/>
        </w:rPr>
        <w:t>”</w:t>
      </w:r>
      <w:r>
        <w:rPr>
          <w:rFonts w:ascii="Verdana"/>
          <w:color w:val="000000"/>
          <w:sz w:val="28"/>
          <w:szCs w:val="28"/>
          <w:shd w:val="clear" w:color="auto" w:fill="FFFFFF"/>
        </w:rPr>
        <w:t xml:space="preserve">建设，结合实践工作和理论研究，形成一批具有决策咨询价值和推广示范意义的研究成果。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6</w:t>
      </w:r>
      <w:r>
        <w:rPr>
          <w:rFonts w:ascii="Verdana"/>
          <w:b/>
          <w:color w:val="000000"/>
          <w:sz w:val="28"/>
          <w:szCs w:val="28"/>
          <w:shd w:val="clear" w:color="auto" w:fill="FFFFFF"/>
        </w:rPr>
        <w:t xml:space="preserve">．积极推进辅导员学历提升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继续选拔辅导员在职攻读思想政治教育专业博士学位，到</w:t>
      </w:r>
      <w:r>
        <w:rPr>
          <w:rFonts w:ascii="Verdana"/>
          <w:color w:val="000000"/>
          <w:sz w:val="28"/>
          <w:szCs w:val="28"/>
          <w:shd w:val="clear" w:color="auto" w:fill="FFFFFF"/>
        </w:rPr>
        <w:t>2017</w:t>
      </w:r>
      <w:r>
        <w:rPr>
          <w:rFonts w:ascii="Verdana"/>
          <w:color w:val="000000"/>
          <w:sz w:val="28"/>
          <w:szCs w:val="28"/>
          <w:shd w:val="clear" w:color="auto" w:fill="FFFFFF"/>
        </w:rPr>
        <w:t>年在职攻读思想政治教育专业博士学位的辅导员总数达到</w:t>
      </w:r>
      <w:r>
        <w:rPr>
          <w:rFonts w:ascii="Verdana"/>
          <w:color w:val="000000"/>
          <w:sz w:val="28"/>
          <w:szCs w:val="28"/>
          <w:shd w:val="clear" w:color="auto" w:fill="FFFFFF"/>
        </w:rPr>
        <w:t>1000</w:t>
      </w:r>
      <w:r>
        <w:rPr>
          <w:rFonts w:ascii="Verdana"/>
          <w:color w:val="000000"/>
          <w:sz w:val="28"/>
          <w:szCs w:val="28"/>
          <w:shd w:val="clear" w:color="auto" w:fill="FFFFFF"/>
        </w:rPr>
        <w:t>名。鼓励和支持辅导员攻读思想政治教育和马克思主义一级学科其他相关学位、开展业务进修。到</w:t>
      </w:r>
      <w:r>
        <w:rPr>
          <w:rFonts w:ascii="Verdana"/>
          <w:color w:val="000000"/>
          <w:sz w:val="28"/>
          <w:szCs w:val="28"/>
          <w:shd w:val="clear" w:color="auto" w:fill="FFFFFF"/>
        </w:rPr>
        <w:t>2017</w:t>
      </w:r>
      <w:r>
        <w:rPr>
          <w:rFonts w:ascii="Verdana"/>
          <w:color w:val="000000"/>
          <w:sz w:val="28"/>
          <w:szCs w:val="28"/>
          <w:shd w:val="clear" w:color="auto" w:fill="FFFFFF"/>
        </w:rPr>
        <w:t>年，专职辅导员队伍中具有硕士以上学位比例由目前的</w:t>
      </w:r>
      <w:r>
        <w:rPr>
          <w:rFonts w:ascii="Verdana"/>
          <w:color w:val="000000"/>
          <w:sz w:val="28"/>
          <w:szCs w:val="28"/>
          <w:shd w:val="clear" w:color="auto" w:fill="FFFFFF"/>
        </w:rPr>
        <w:t>40%</w:t>
      </w:r>
      <w:r>
        <w:rPr>
          <w:rFonts w:ascii="Verdana"/>
          <w:color w:val="000000"/>
          <w:sz w:val="28"/>
          <w:szCs w:val="28"/>
          <w:shd w:val="clear" w:color="auto" w:fill="FFFFFF"/>
        </w:rPr>
        <w:t>增长到</w:t>
      </w:r>
      <w:r>
        <w:rPr>
          <w:rFonts w:ascii="Verdana"/>
          <w:color w:val="000000"/>
          <w:sz w:val="28"/>
          <w:szCs w:val="28"/>
          <w:shd w:val="clear" w:color="auto" w:fill="FFFFFF"/>
        </w:rPr>
        <w:t>60%</w:t>
      </w:r>
      <w:r>
        <w:rPr>
          <w:rFonts w:ascii="Verdana"/>
          <w:color w:val="000000"/>
          <w:sz w:val="28"/>
          <w:szCs w:val="28"/>
          <w:shd w:val="clear" w:color="auto" w:fill="FFFFFF"/>
        </w:rPr>
        <w:t>，具有博士学位比例有明显提高。各地各高校要将辅导员在职攻读学位纳入教师</w:t>
      </w:r>
      <w:r>
        <w:rPr>
          <w:rFonts w:ascii="Verdana"/>
          <w:color w:val="000000"/>
          <w:sz w:val="28"/>
          <w:szCs w:val="28"/>
          <w:shd w:val="clear" w:color="auto" w:fill="FFFFFF"/>
        </w:rPr>
        <w:t xml:space="preserve">培训计划，享受有关鼓励政策。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7</w:t>
      </w:r>
      <w:r>
        <w:rPr>
          <w:rFonts w:ascii="Verdana"/>
          <w:b/>
          <w:color w:val="000000"/>
          <w:sz w:val="28"/>
          <w:szCs w:val="28"/>
          <w:shd w:val="clear" w:color="auto" w:fill="FFFFFF"/>
        </w:rPr>
        <w:t xml:space="preserve">．强化实践教育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组织辅导员到爱国主义教育基地和国防教育基地、城市社区、农村乡镇、工矿企业、驻军部队、社会服务机构等开展社会考察和假期实践，深入了解国情、民情、社情。广泛组织辅导员假期家访，切实解决学生实际需求。推进辅导员国内高校交流研修活动，省级教育工作部门统筹规划，相关高校协调沟通，落实辅导员在相关岗位参与</w:t>
      </w:r>
      <w:r>
        <w:rPr>
          <w:rFonts w:ascii="Verdana"/>
          <w:color w:val="000000"/>
          <w:sz w:val="28"/>
          <w:szCs w:val="28"/>
          <w:shd w:val="clear" w:color="auto" w:fill="FFFFFF"/>
        </w:rPr>
        <w:t>3</w:t>
      </w:r>
      <w:r>
        <w:rPr>
          <w:rFonts w:ascii="Verdana"/>
          <w:color w:val="000000"/>
          <w:sz w:val="28"/>
          <w:szCs w:val="28"/>
          <w:shd w:val="clear" w:color="auto" w:fill="FFFFFF"/>
        </w:rPr>
        <w:t>—</w:t>
      </w:r>
      <w:r>
        <w:rPr>
          <w:rFonts w:ascii="Verdana"/>
          <w:color w:val="000000"/>
          <w:sz w:val="28"/>
          <w:szCs w:val="28"/>
          <w:shd w:val="clear" w:color="auto" w:fill="FFFFFF"/>
        </w:rPr>
        <w:t>6</w:t>
      </w:r>
      <w:r>
        <w:rPr>
          <w:rFonts w:ascii="Verdana"/>
          <w:color w:val="000000"/>
          <w:sz w:val="28"/>
          <w:szCs w:val="28"/>
          <w:shd w:val="clear" w:color="auto" w:fill="FFFFFF"/>
        </w:rPr>
        <w:t>个月工作，鼓励东部地区高校接收中西部辅导员开展</w:t>
      </w:r>
      <w:r>
        <w:rPr>
          <w:rFonts w:ascii="Verdana"/>
          <w:color w:val="000000"/>
          <w:sz w:val="28"/>
          <w:szCs w:val="28"/>
          <w:shd w:val="clear" w:color="auto" w:fill="FFFFFF"/>
        </w:rPr>
        <w:lastRenderedPageBreak/>
        <w:t xml:space="preserve">交流研修活动。鼓励有条件的高校选派辅导员在县、乡、村等基层单位进行挂职锻炼。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8</w:t>
      </w:r>
      <w:r>
        <w:rPr>
          <w:rFonts w:ascii="Verdana"/>
          <w:b/>
          <w:color w:val="000000"/>
          <w:sz w:val="28"/>
          <w:szCs w:val="28"/>
          <w:shd w:val="clear" w:color="auto" w:fill="FFFFFF"/>
        </w:rPr>
        <w:t>．推进网络培训平台建</w:t>
      </w:r>
      <w:r>
        <w:rPr>
          <w:rFonts w:ascii="Verdana"/>
          <w:b/>
          <w:color w:val="000000"/>
          <w:sz w:val="28"/>
          <w:szCs w:val="28"/>
          <w:shd w:val="clear" w:color="auto" w:fill="FFFFFF"/>
        </w:rPr>
        <w:t xml:space="preserve">设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不断提高辅导员培训的现代化和信息化水平。充分利用网络平台开展远程培训，发挥国家教育行政学院、国家开放大学和高校的优势，开发网络培训平台，建设一批网络培训精品课程，促进优质培训资源共享，面向不同类别辅导员学习需求，建设便捷灵活和个性化的学习环境。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9</w:t>
      </w:r>
      <w:r>
        <w:rPr>
          <w:rFonts w:ascii="Verdana"/>
          <w:b/>
          <w:color w:val="000000"/>
          <w:sz w:val="28"/>
          <w:szCs w:val="28"/>
          <w:shd w:val="clear" w:color="auto" w:fill="FFFFFF"/>
        </w:rPr>
        <w:t xml:space="preserve">．组织海外考察培训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组织辅导员赴境外短期考察。继续设立国家公派出国留学高校学生工作者培训项目，将辅导员海外培训纳入国家公派留学计划。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五、保障措施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b/>
          <w:color w:val="000000"/>
          <w:sz w:val="28"/>
          <w:szCs w:val="28"/>
          <w:shd w:val="clear" w:color="auto" w:fill="FFFFFF"/>
        </w:rPr>
        <w:t xml:space="preserve">　　</w:t>
      </w:r>
      <w:r>
        <w:rPr>
          <w:rFonts w:ascii="Verdana"/>
          <w:b/>
          <w:color w:val="000000"/>
          <w:sz w:val="28"/>
          <w:szCs w:val="28"/>
          <w:shd w:val="clear" w:color="auto" w:fill="FFFFFF"/>
        </w:rPr>
        <w:t>1</w:t>
      </w:r>
      <w:r>
        <w:rPr>
          <w:rFonts w:ascii="Verdana"/>
          <w:b/>
          <w:color w:val="000000"/>
          <w:sz w:val="28"/>
          <w:szCs w:val="28"/>
          <w:shd w:val="clear" w:color="auto" w:fill="FFFFFF"/>
        </w:rPr>
        <w:t xml:space="preserve">．完善评价机制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完善辅导员培训证书制度。建立全国统一的辅导员在岗培训证书制</w:t>
      </w:r>
      <w:r>
        <w:rPr>
          <w:rFonts w:ascii="Verdana"/>
          <w:color w:val="000000"/>
          <w:sz w:val="28"/>
          <w:szCs w:val="28"/>
          <w:shd w:val="clear" w:color="auto" w:fill="FFFFFF"/>
        </w:rPr>
        <w:t xml:space="preserve">度，规范培训记录。加强培训与任（聘）用的有机衔接。把培训情况和学习成效作为辅导员任职、晋升的重要依据。新任辅导员要进行入职培训，做到持证上岗。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b/>
          <w:color w:val="000000"/>
          <w:sz w:val="28"/>
          <w:szCs w:val="28"/>
          <w:shd w:val="clear" w:color="auto" w:fill="FFFFFF"/>
        </w:rPr>
        <w:t xml:space="preserve">　　</w:t>
      </w:r>
      <w:r>
        <w:rPr>
          <w:rFonts w:ascii="Verdana"/>
          <w:b/>
          <w:color w:val="000000"/>
          <w:sz w:val="28"/>
          <w:szCs w:val="28"/>
          <w:shd w:val="clear" w:color="auto" w:fill="FFFFFF"/>
        </w:rPr>
        <w:t>2</w:t>
      </w:r>
      <w:r>
        <w:rPr>
          <w:rFonts w:ascii="Verdana"/>
          <w:b/>
          <w:color w:val="000000"/>
          <w:sz w:val="28"/>
          <w:szCs w:val="28"/>
          <w:shd w:val="clear" w:color="auto" w:fill="FFFFFF"/>
        </w:rPr>
        <w:t xml:space="preserve">．加强质量监控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形成辅导员培训质量评估机制，开展评估工作试点。省级教育工作部门要分步骤、分类别、分层次对省级辅导员培训和研修基地及本行政区域内高校的培训情况进行全面质量检查。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b/>
          <w:color w:val="000000"/>
          <w:sz w:val="28"/>
          <w:szCs w:val="28"/>
          <w:shd w:val="clear" w:color="auto" w:fill="FFFFFF"/>
        </w:rPr>
        <w:t xml:space="preserve">　　</w:t>
      </w:r>
      <w:r>
        <w:rPr>
          <w:rFonts w:ascii="Verdana"/>
          <w:b/>
          <w:color w:val="000000"/>
          <w:sz w:val="28"/>
          <w:szCs w:val="28"/>
          <w:shd w:val="clear" w:color="auto" w:fill="FFFFFF"/>
        </w:rPr>
        <w:t>3</w:t>
      </w:r>
      <w:r>
        <w:rPr>
          <w:rFonts w:ascii="Verdana"/>
          <w:b/>
          <w:color w:val="000000"/>
          <w:sz w:val="28"/>
          <w:szCs w:val="28"/>
          <w:shd w:val="clear" w:color="auto" w:fill="FFFFFF"/>
        </w:rPr>
        <w:t xml:space="preserve">．保证经费投入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加强辅导员培训工作必须有相应的经费予以保障。全国高校辅导员国家级示范培训所需经费列入全国教师培训专项经费计划。各地各高校要把辅导员培训纳入教师培训计</w:t>
      </w:r>
      <w:r>
        <w:rPr>
          <w:rFonts w:ascii="Verdana"/>
          <w:color w:val="000000"/>
          <w:sz w:val="28"/>
          <w:szCs w:val="28"/>
          <w:shd w:val="clear" w:color="auto" w:fill="FFFFFF"/>
        </w:rPr>
        <w:t>划，并落实培训经费。在安排全国教育干部培训专项经费时，要对辅导员培训工作给予一定支持。建立健全示范培训项目招（邀）标机制，通过公开、竞争、</w:t>
      </w:r>
      <w:r>
        <w:rPr>
          <w:rFonts w:ascii="Verdana"/>
          <w:color w:val="000000"/>
          <w:sz w:val="28"/>
          <w:szCs w:val="28"/>
          <w:shd w:val="clear" w:color="auto" w:fill="FFFFFF"/>
        </w:rPr>
        <w:lastRenderedPageBreak/>
        <w:t xml:space="preserve">择优的方式，遴选确定培训任务、承担机构，确保经费投入。　</w:t>
      </w:r>
    </w:p>
    <w:p w:rsidR="00000000" w:rsidRDefault="00A47D54">
      <w:pPr>
        <w:shd w:val="solid" w:color="FFFFFF" w:fill="auto"/>
        <w:autoSpaceDN w:val="0"/>
        <w:spacing w:line="500" w:lineRule="exact"/>
        <w:ind w:left="150" w:right="150"/>
        <w:rPr>
          <w:rFonts w:ascii="Verdana"/>
          <w:color w:val="000000"/>
          <w:sz w:val="28"/>
          <w:szCs w:val="28"/>
          <w:shd w:val="clear" w:color="auto" w:fill="FFFFFF"/>
        </w:rPr>
      </w:pPr>
      <w:r>
        <w:rPr>
          <w:rFonts w:ascii="Verdana"/>
          <w:color w:val="000000"/>
          <w:sz w:val="28"/>
          <w:szCs w:val="28"/>
          <w:shd w:val="clear" w:color="auto" w:fill="FFFFFF"/>
        </w:rPr>
        <w:t xml:space="preserve">　</w:t>
      </w:r>
      <w:r>
        <w:rPr>
          <w:rFonts w:ascii="Verdana"/>
          <w:b/>
          <w:color w:val="000000"/>
          <w:sz w:val="28"/>
          <w:szCs w:val="28"/>
          <w:shd w:val="clear" w:color="auto" w:fill="FFFFFF"/>
        </w:rPr>
        <w:t xml:space="preserve">　</w:t>
      </w:r>
      <w:r>
        <w:rPr>
          <w:rFonts w:ascii="Verdana"/>
          <w:b/>
          <w:color w:val="000000"/>
          <w:sz w:val="28"/>
          <w:szCs w:val="28"/>
          <w:shd w:val="clear" w:color="auto" w:fill="FFFFFF"/>
        </w:rPr>
        <w:t>4</w:t>
      </w:r>
      <w:r>
        <w:rPr>
          <w:rFonts w:ascii="Verdana"/>
          <w:b/>
          <w:color w:val="000000"/>
          <w:sz w:val="28"/>
          <w:szCs w:val="28"/>
          <w:shd w:val="clear" w:color="auto" w:fill="FFFFFF"/>
        </w:rPr>
        <w:t xml:space="preserve">．加强组织领导　</w:t>
      </w:r>
    </w:p>
    <w:p w:rsidR="00000000" w:rsidRDefault="00A47D54">
      <w:pPr>
        <w:shd w:val="solid" w:color="FFFFFF" w:fill="auto"/>
        <w:autoSpaceDN w:val="0"/>
        <w:spacing w:line="500" w:lineRule="exact"/>
        <w:ind w:left="150" w:right="150"/>
        <w:rPr>
          <w:rFonts w:ascii="仿宋" w:eastAsia="仿宋" w:hAnsi="仿宋" w:cs="仿宋" w:hint="eastAsia"/>
          <w:sz w:val="30"/>
          <w:szCs w:val="30"/>
        </w:rPr>
      </w:pPr>
      <w:r>
        <w:rPr>
          <w:rFonts w:ascii="Verdana"/>
          <w:color w:val="000000"/>
          <w:sz w:val="28"/>
          <w:szCs w:val="28"/>
          <w:shd w:val="clear" w:color="auto" w:fill="FFFFFF"/>
        </w:rPr>
        <w:t xml:space="preserve">　　各地各高校要高度重视辅导员培训工作，完善领导体制，把辅导员培训纳入干部培训和教师培训规划。加强分类指导，根据不同类型高校实际情况和学生特点，确立培训具体要求。加强整体设计，制定年度辅导员培训规划，组织、协调、科学合理地安排辅导员分期分批参加培训。加强检查监督，定期开展督查，确保辅导员培训</w:t>
      </w:r>
      <w:r>
        <w:rPr>
          <w:rFonts w:ascii="Verdana"/>
          <w:color w:val="000000"/>
          <w:sz w:val="28"/>
          <w:szCs w:val="28"/>
          <w:shd w:val="clear" w:color="auto" w:fill="FFFFFF"/>
        </w:rPr>
        <w:t>各项任务落到实处。</w:t>
      </w:r>
    </w:p>
    <w:p w:rsidR="00000000" w:rsidRDefault="00A47D54">
      <w:pPr>
        <w:spacing w:line="560" w:lineRule="exact"/>
        <w:jc w:val="center"/>
        <w:rPr>
          <w:rFonts w:ascii="方正小标宋_GBK" w:eastAsia="方正小标宋_GBK" w:hAnsi="方正小标宋_GBK" w:cs="方正小标宋_GBK" w:hint="eastAsia"/>
          <w:sz w:val="32"/>
          <w:szCs w:val="32"/>
        </w:rPr>
        <w:sectPr w:rsidR="00000000">
          <w:pgSz w:w="11906" w:h="16838"/>
          <w:pgMar w:top="1440" w:right="1800" w:bottom="1440" w:left="1800" w:header="851" w:footer="992" w:gutter="0"/>
          <w:cols w:space="720"/>
          <w:docGrid w:type="lines" w:linePitch="312"/>
        </w:sectPr>
      </w:pPr>
    </w:p>
    <w:p w:rsidR="00000000" w:rsidRDefault="00A47D54">
      <w:pPr>
        <w:spacing w:line="560" w:lineRule="exact"/>
        <w:jc w:val="left"/>
        <w:rPr>
          <w:rFonts w:ascii="仿宋" w:eastAsia="仿宋" w:hAnsi="仿宋" w:cs="仿宋" w:hint="eastAsia"/>
          <w:sz w:val="30"/>
          <w:szCs w:val="30"/>
        </w:rPr>
      </w:pPr>
      <w:r>
        <w:rPr>
          <w:rFonts w:ascii="仿宋" w:eastAsia="仿宋" w:hAnsi="仿宋" w:cs="仿宋" w:hint="eastAsia"/>
          <w:sz w:val="30"/>
          <w:szCs w:val="30"/>
        </w:rPr>
        <w:lastRenderedPageBreak/>
        <w:t>附件二</w:t>
      </w:r>
    </w:p>
    <w:p w:rsidR="00000000" w:rsidRDefault="00A47D54">
      <w:pPr>
        <w:spacing w:line="560" w:lineRule="exact"/>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32"/>
          <w:szCs w:val="32"/>
        </w:rPr>
        <w:t>2017</w:t>
      </w:r>
      <w:r>
        <w:rPr>
          <w:rFonts w:ascii="方正小标宋_GBK" w:eastAsia="方正小标宋_GBK" w:hAnsi="方正小标宋_GBK" w:cs="方正小标宋_GBK" w:hint="eastAsia"/>
          <w:sz w:val="32"/>
          <w:szCs w:val="32"/>
        </w:rPr>
        <w:t>年江苏省大学生思想政治教育工作示范培训项目名单</w:t>
      </w:r>
    </w:p>
    <w:p w:rsidR="00000000" w:rsidRDefault="00A47D54">
      <w:pPr>
        <w:spacing w:line="500" w:lineRule="exact"/>
        <w:jc w:val="center"/>
        <w:rPr>
          <w:rFonts w:ascii="方正小标宋_GBK" w:eastAsia="方正小标宋_GBK" w:hAnsi="方正小标宋_GBK" w:cs="方正小标宋_GBK"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513"/>
        <w:gridCol w:w="3600"/>
        <w:gridCol w:w="2611"/>
      </w:tblGrid>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序号</w:t>
            </w:r>
          </w:p>
        </w:tc>
        <w:tc>
          <w:tcPr>
            <w:tcW w:w="1513"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培训时间</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培训主题</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培训单位</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w:t>
            </w:r>
          </w:p>
        </w:tc>
        <w:tc>
          <w:tcPr>
            <w:tcW w:w="1513" w:type="dxa"/>
            <w:vMerge w:val="restart"/>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月</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高校辅导员职业指导能力提升</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扬州大学基地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2</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大学班级管理与文化建设</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南京工业大学基地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3</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高校创业园管理人员能力提升</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南京大学</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4</w:t>
            </w:r>
          </w:p>
        </w:tc>
        <w:tc>
          <w:tcPr>
            <w:tcW w:w="1513" w:type="dxa"/>
            <w:vMerge w:val="restart"/>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月</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高校学生突发事件预防与应对</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苏州大学基地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5</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高校学生心理危机应对</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南京师范大学基地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6</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大学生创业教育指导与服务</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江苏大学基地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7</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学生课外实践育人体系设计及实践探索</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常州工学院</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8</w:t>
            </w:r>
          </w:p>
        </w:tc>
        <w:tc>
          <w:tcPr>
            <w:tcW w:w="1513"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8</w:t>
            </w:r>
            <w:r>
              <w:rPr>
                <w:rFonts w:ascii="仿宋" w:eastAsia="仿宋" w:hAnsi="仿宋" w:cs="仿宋" w:hint="eastAsia"/>
                <w:sz w:val="24"/>
              </w:rPr>
              <w:t>月</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新时期的普通高等学校</w:t>
            </w:r>
            <w:r>
              <w:rPr>
                <w:rFonts w:ascii="仿宋" w:eastAsia="仿宋" w:hAnsi="仿宋" w:cs="仿宋" w:hint="eastAsia"/>
                <w:sz w:val="24"/>
              </w:rPr>
              <w:t>学生管理</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东南大学</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9</w:t>
            </w:r>
          </w:p>
        </w:tc>
        <w:tc>
          <w:tcPr>
            <w:tcW w:w="1513"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9</w:t>
            </w:r>
            <w:r>
              <w:rPr>
                <w:rFonts w:ascii="仿宋" w:eastAsia="仿宋" w:hAnsi="仿宋" w:cs="仿宋" w:hint="eastAsia"/>
                <w:sz w:val="24"/>
              </w:rPr>
              <w:t>月</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大学生心理健康普测应用与心理问题应对策略</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苏州大学基地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10</w:t>
            </w:r>
          </w:p>
        </w:tc>
        <w:tc>
          <w:tcPr>
            <w:tcW w:w="1513" w:type="dxa"/>
            <w:vMerge w:val="restart"/>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10</w:t>
            </w:r>
            <w:r>
              <w:rPr>
                <w:rFonts w:ascii="仿宋" w:eastAsia="仿宋" w:hAnsi="仿宋" w:cs="仿宋" w:hint="eastAsia"/>
                <w:sz w:val="24"/>
              </w:rPr>
              <w:t>月</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培育和践行社会主义价值观</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扬州大学基地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11</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辅导员职业能力提升</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中国矿业大学基地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12</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优秀传统文化与思想政治教育</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南通大学基地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13</w:t>
            </w:r>
          </w:p>
        </w:tc>
        <w:tc>
          <w:tcPr>
            <w:tcW w:w="1513" w:type="dxa"/>
            <w:vMerge w:val="restart"/>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11</w:t>
            </w:r>
            <w:r>
              <w:rPr>
                <w:rFonts w:ascii="仿宋" w:eastAsia="仿宋" w:hAnsi="仿宋" w:cs="仿宋" w:hint="eastAsia"/>
                <w:sz w:val="24"/>
              </w:rPr>
              <w:t>月</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高校学生教育管理法律事务</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南通大学基地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14</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高校院（系）党委（总支）副书记学生事务管理能力提升</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江苏大学基地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15</w:t>
            </w:r>
          </w:p>
        </w:tc>
        <w:tc>
          <w:tcPr>
            <w:tcW w:w="1513" w:type="dxa"/>
            <w:vMerge/>
            <w:vAlign w:val="center"/>
          </w:tcPr>
          <w:p w:rsidR="00000000" w:rsidRDefault="00A47D54">
            <w:pPr>
              <w:spacing w:line="440" w:lineRule="exact"/>
              <w:jc w:val="center"/>
              <w:rPr>
                <w:rFonts w:ascii="仿宋" w:eastAsia="仿宋" w:hAnsi="仿宋" w:cs="仿宋" w:hint="eastAsia"/>
                <w:sz w:val="24"/>
              </w:rPr>
            </w:pP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高校学生教育管理中的冲突问题与应对策略</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南京工业大学基地</w:t>
            </w:r>
          </w:p>
        </w:tc>
      </w:tr>
      <w:tr w:rsidR="00000000">
        <w:tblPrEx>
          <w:tblCellMar>
            <w:top w:w="0" w:type="dxa"/>
            <w:bottom w:w="0" w:type="dxa"/>
          </w:tblCellMar>
        </w:tblPrEx>
        <w:trPr>
          <w:trHeight w:val="567"/>
        </w:trPr>
        <w:tc>
          <w:tcPr>
            <w:tcW w:w="798"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16</w:t>
            </w:r>
          </w:p>
        </w:tc>
        <w:tc>
          <w:tcPr>
            <w:tcW w:w="1513"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12</w:t>
            </w:r>
            <w:r>
              <w:rPr>
                <w:rFonts w:ascii="仿宋" w:eastAsia="仿宋" w:hAnsi="仿宋" w:cs="仿宋" w:hint="eastAsia"/>
                <w:sz w:val="24"/>
              </w:rPr>
              <w:t>月</w:t>
            </w:r>
          </w:p>
        </w:tc>
        <w:tc>
          <w:tcPr>
            <w:tcW w:w="3600"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辅导员创新创业教育与实践指导</w:t>
            </w:r>
          </w:p>
        </w:tc>
        <w:tc>
          <w:tcPr>
            <w:tcW w:w="26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中国矿业大学基地</w:t>
            </w:r>
          </w:p>
        </w:tc>
      </w:tr>
    </w:tbl>
    <w:p w:rsidR="00000000" w:rsidRDefault="00A47D54">
      <w:pPr>
        <w:rPr>
          <w:rFonts w:hint="eastAsia"/>
          <w:sz w:val="28"/>
          <w:szCs w:val="28"/>
        </w:rPr>
        <w:sectPr w:rsidR="00000000">
          <w:pgSz w:w="11906" w:h="16838"/>
          <w:pgMar w:top="1440" w:right="1800" w:bottom="1440" w:left="1800" w:header="851" w:footer="992" w:gutter="0"/>
          <w:cols w:space="720"/>
          <w:docGrid w:type="lines" w:linePitch="312"/>
        </w:sectPr>
      </w:pPr>
    </w:p>
    <w:p w:rsidR="00000000" w:rsidRDefault="00A47D54">
      <w:pPr>
        <w:spacing w:line="560" w:lineRule="exact"/>
        <w:jc w:val="left"/>
        <w:rPr>
          <w:rFonts w:ascii="仿宋" w:eastAsia="仿宋" w:hAnsi="仿宋" w:cs="仿宋" w:hint="eastAsia"/>
          <w:sz w:val="30"/>
          <w:szCs w:val="30"/>
        </w:rPr>
      </w:pPr>
      <w:r>
        <w:rPr>
          <w:rFonts w:ascii="仿宋" w:eastAsia="仿宋" w:hAnsi="仿宋" w:cs="仿宋" w:hint="eastAsia"/>
          <w:sz w:val="30"/>
          <w:szCs w:val="30"/>
        </w:rPr>
        <w:lastRenderedPageBreak/>
        <w:t>附件三</w:t>
      </w:r>
    </w:p>
    <w:p w:rsidR="00000000" w:rsidRDefault="00A47D54">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江苏城市职业学院</w:t>
      </w:r>
    </w:p>
    <w:p w:rsidR="00000000" w:rsidRDefault="00A47D54">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2017</w:t>
      </w:r>
      <w:r>
        <w:rPr>
          <w:rFonts w:ascii="方正小标宋_GBK" w:eastAsia="方正小标宋_GBK" w:hAnsi="方正小标宋_GBK" w:cs="方正小标宋_GBK" w:hint="eastAsia"/>
          <w:sz w:val="36"/>
          <w:szCs w:val="36"/>
        </w:rPr>
        <w:t>年度辅导员培训暨研讨工作计划</w:t>
      </w:r>
    </w:p>
    <w:p w:rsidR="00000000" w:rsidRDefault="00A47D54">
      <w:pPr>
        <w:jc w:val="center"/>
        <w:rPr>
          <w:rFonts w:ascii="方正小标宋_GBK" w:eastAsia="方正小标宋_GBK" w:hAnsi="方正小标宋_GBK" w:cs="方正小标宋_GBK" w:hint="eastAsia"/>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1091"/>
        <w:gridCol w:w="3625"/>
        <w:gridCol w:w="3111"/>
      </w:tblGrid>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序号</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时间</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培训暨研讨主题</w:t>
            </w:r>
          </w:p>
        </w:tc>
        <w:tc>
          <w:tcPr>
            <w:tcW w:w="31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备注</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全年</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按计划参加</w:t>
            </w:r>
          </w:p>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省级及以上各项职业能力培训</w:t>
            </w:r>
          </w:p>
        </w:tc>
        <w:tc>
          <w:tcPr>
            <w:tcW w:w="31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含学生资助、心理健康教育、就创业工作、国防教育等各项专题培训</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2</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学生工作案例分析与撰写</w:t>
            </w:r>
          </w:p>
        </w:tc>
        <w:tc>
          <w:tcPr>
            <w:tcW w:w="31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为</w:t>
            </w:r>
            <w:bookmarkStart w:id="0" w:name="OLE_LINK1"/>
            <w:r>
              <w:rPr>
                <w:rFonts w:ascii="仿宋" w:eastAsia="仿宋" w:hAnsi="仿宋" w:cs="仿宋" w:hint="eastAsia"/>
                <w:sz w:val="24"/>
              </w:rPr>
              <w:t>5</w:t>
            </w:r>
            <w:r>
              <w:rPr>
                <w:rFonts w:ascii="仿宋" w:eastAsia="仿宋" w:hAnsi="仿宋" w:cs="仿宋" w:hint="eastAsia"/>
                <w:sz w:val="24"/>
              </w:rPr>
              <w:t>月全省</w:t>
            </w:r>
            <w:bookmarkEnd w:id="0"/>
            <w:r>
              <w:rPr>
                <w:rFonts w:ascii="仿宋" w:eastAsia="仿宋" w:hAnsi="仿宋" w:cs="仿宋" w:hint="eastAsia"/>
                <w:sz w:val="24"/>
              </w:rPr>
              <w:t>辅导员工作案例征集做准备</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3</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4</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辅导员工作座谈会</w:t>
            </w:r>
          </w:p>
        </w:tc>
        <w:tc>
          <w:tcPr>
            <w:tcW w:w="3111" w:type="dxa"/>
            <w:vAlign w:val="center"/>
          </w:tcPr>
          <w:p w:rsidR="00000000" w:rsidRDefault="00A47D54">
            <w:pPr>
              <w:spacing w:line="440" w:lineRule="exact"/>
              <w:jc w:val="center"/>
              <w:rPr>
                <w:rFonts w:ascii="仿宋" w:eastAsia="仿宋" w:hAnsi="仿宋" w:cs="仿宋" w:hint="eastAsia"/>
                <w:sz w:val="24"/>
              </w:rPr>
            </w:pP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4</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我校学生工作精细化方向研讨</w:t>
            </w:r>
          </w:p>
        </w:tc>
        <w:tc>
          <w:tcPr>
            <w:tcW w:w="31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辅导员工作创新论坛暨思想工作研讨会</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5</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主题班会方案评比</w:t>
            </w:r>
          </w:p>
        </w:tc>
        <w:tc>
          <w:tcPr>
            <w:tcW w:w="3111" w:type="dxa"/>
            <w:vMerge w:val="restart"/>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辅导员职业能力专题培训，</w:t>
            </w:r>
          </w:p>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为</w:t>
            </w:r>
            <w:r>
              <w:rPr>
                <w:rFonts w:ascii="仿宋" w:eastAsia="仿宋" w:hAnsi="仿宋" w:cs="仿宋" w:hint="eastAsia"/>
                <w:sz w:val="24"/>
              </w:rPr>
              <w:t>11</w:t>
            </w:r>
            <w:r>
              <w:rPr>
                <w:rFonts w:ascii="仿宋" w:eastAsia="仿宋" w:hAnsi="仿宋" w:cs="仿宋" w:hint="eastAsia"/>
                <w:sz w:val="24"/>
              </w:rPr>
              <w:t>月辅导员职业能力比赛做准备</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6</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6</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辅导员表达能力培</w:t>
            </w:r>
            <w:r>
              <w:rPr>
                <w:rFonts w:ascii="仿宋" w:eastAsia="仿宋" w:hAnsi="仿宋" w:cs="仿宋" w:hint="eastAsia"/>
                <w:sz w:val="24"/>
              </w:rPr>
              <w:t>训与演练：</w:t>
            </w:r>
          </w:p>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z w:val="24"/>
              </w:rPr>
              <w:t>、演讲能力；</w:t>
            </w:r>
            <w:r>
              <w:rPr>
                <w:rFonts w:ascii="仿宋" w:eastAsia="仿宋" w:hAnsi="仿宋" w:cs="仿宋" w:hint="eastAsia"/>
                <w:sz w:val="24"/>
              </w:rPr>
              <w:t>2</w:t>
            </w:r>
            <w:r>
              <w:rPr>
                <w:rFonts w:ascii="仿宋" w:eastAsia="仿宋" w:hAnsi="仿宋" w:cs="仿宋" w:hint="eastAsia"/>
                <w:sz w:val="24"/>
              </w:rPr>
              <w:t>、谈心谈话能力</w:t>
            </w:r>
          </w:p>
        </w:tc>
        <w:tc>
          <w:tcPr>
            <w:tcW w:w="3111" w:type="dxa"/>
            <w:vMerge/>
            <w:vAlign w:val="center"/>
          </w:tcPr>
          <w:p w:rsidR="00000000" w:rsidRDefault="00A47D54">
            <w:pPr>
              <w:spacing w:line="440" w:lineRule="exact"/>
              <w:jc w:val="center"/>
              <w:rPr>
                <w:rFonts w:ascii="仿宋" w:eastAsia="仿宋" w:hAnsi="仿宋" w:cs="仿宋" w:hint="eastAsia"/>
                <w:sz w:val="24"/>
              </w:rPr>
            </w:pP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7</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7</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辅导员工作精品项目评比</w:t>
            </w:r>
          </w:p>
        </w:tc>
        <w:tc>
          <w:tcPr>
            <w:tcW w:w="3111" w:type="dxa"/>
            <w:vAlign w:val="center"/>
          </w:tcPr>
          <w:p w:rsidR="00000000" w:rsidRDefault="00A47D54">
            <w:pPr>
              <w:spacing w:line="440" w:lineRule="exact"/>
              <w:jc w:val="center"/>
              <w:rPr>
                <w:rFonts w:ascii="仿宋" w:eastAsia="仿宋" w:hAnsi="仿宋" w:cs="仿宋" w:hint="eastAsia"/>
                <w:sz w:val="24"/>
              </w:rPr>
            </w:pP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8</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7</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辅导员素质拓展培训</w:t>
            </w:r>
          </w:p>
        </w:tc>
        <w:tc>
          <w:tcPr>
            <w:tcW w:w="3111" w:type="dxa"/>
            <w:vAlign w:val="center"/>
          </w:tcPr>
          <w:p w:rsidR="00000000" w:rsidRDefault="00A47D54">
            <w:pPr>
              <w:spacing w:line="440" w:lineRule="exact"/>
              <w:jc w:val="center"/>
              <w:rPr>
                <w:rFonts w:ascii="仿宋" w:eastAsia="仿宋" w:hAnsi="仿宋" w:cs="仿宋" w:hint="eastAsia"/>
                <w:sz w:val="24"/>
              </w:rPr>
            </w:pP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9</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8</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新辅导员入职前培训</w:t>
            </w:r>
          </w:p>
        </w:tc>
        <w:tc>
          <w:tcPr>
            <w:tcW w:w="31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南京工业大学基地</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10</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9</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奥蓝学生管理系统迎新工作培训</w:t>
            </w:r>
          </w:p>
        </w:tc>
        <w:tc>
          <w:tcPr>
            <w:tcW w:w="31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迎新工作专题培训</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11</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10</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新生心理健康普查工作培训</w:t>
            </w:r>
          </w:p>
        </w:tc>
        <w:tc>
          <w:tcPr>
            <w:tcW w:w="311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心理健康教育工作专题培训</w:t>
            </w: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12</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11</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辅导员职业能力比赛</w:t>
            </w:r>
          </w:p>
        </w:tc>
        <w:tc>
          <w:tcPr>
            <w:tcW w:w="3111" w:type="dxa"/>
            <w:vAlign w:val="center"/>
          </w:tcPr>
          <w:p w:rsidR="00000000" w:rsidRDefault="00A47D54">
            <w:pPr>
              <w:spacing w:line="440" w:lineRule="exact"/>
              <w:jc w:val="center"/>
              <w:rPr>
                <w:rFonts w:ascii="仿宋" w:eastAsia="仿宋" w:hAnsi="仿宋" w:cs="仿宋" w:hint="eastAsia"/>
                <w:sz w:val="24"/>
              </w:rPr>
            </w:pPr>
          </w:p>
        </w:tc>
      </w:tr>
      <w:tr w:rsidR="00000000">
        <w:tc>
          <w:tcPr>
            <w:tcW w:w="81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13</w:t>
            </w:r>
          </w:p>
        </w:tc>
        <w:tc>
          <w:tcPr>
            <w:tcW w:w="1091"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12</w:t>
            </w:r>
            <w:r>
              <w:rPr>
                <w:rFonts w:ascii="仿宋" w:eastAsia="仿宋" w:hAnsi="仿宋" w:cs="仿宋" w:hint="eastAsia"/>
                <w:sz w:val="24"/>
              </w:rPr>
              <w:t>月</w:t>
            </w:r>
          </w:p>
        </w:tc>
        <w:tc>
          <w:tcPr>
            <w:tcW w:w="3625" w:type="dxa"/>
            <w:vAlign w:val="center"/>
          </w:tcPr>
          <w:p w:rsidR="00000000" w:rsidRDefault="00A47D54">
            <w:pPr>
              <w:spacing w:line="440" w:lineRule="exact"/>
              <w:jc w:val="center"/>
              <w:rPr>
                <w:rFonts w:ascii="仿宋" w:eastAsia="仿宋" w:hAnsi="仿宋" w:cs="仿宋" w:hint="eastAsia"/>
                <w:sz w:val="24"/>
              </w:rPr>
            </w:pPr>
            <w:r>
              <w:rPr>
                <w:rFonts w:ascii="仿宋" w:eastAsia="仿宋" w:hAnsi="仿宋" w:cs="仿宋" w:hint="eastAsia"/>
                <w:sz w:val="24"/>
              </w:rPr>
              <w:t>辅导员年度考核评优；办学系统优秀学生工作者、就业工作先进个人评比）</w:t>
            </w:r>
          </w:p>
        </w:tc>
        <w:tc>
          <w:tcPr>
            <w:tcW w:w="3111" w:type="dxa"/>
            <w:vAlign w:val="center"/>
          </w:tcPr>
          <w:p w:rsidR="00000000" w:rsidRDefault="00A47D54">
            <w:pPr>
              <w:spacing w:line="440" w:lineRule="exact"/>
              <w:jc w:val="center"/>
              <w:rPr>
                <w:rFonts w:ascii="仿宋" w:eastAsia="仿宋" w:hAnsi="仿宋" w:cs="仿宋" w:hint="eastAsia"/>
                <w:sz w:val="24"/>
              </w:rPr>
            </w:pPr>
          </w:p>
        </w:tc>
      </w:tr>
    </w:tbl>
    <w:p w:rsidR="00000000" w:rsidRDefault="00A47D54"/>
    <w:p w:rsidR="00000000" w:rsidRDefault="00A47D54">
      <w:pPr>
        <w:rPr>
          <w:rFonts w:hint="eastAsia"/>
          <w:sz w:val="28"/>
          <w:szCs w:val="28"/>
        </w:rPr>
        <w:sectPr w:rsidR="00000000">
          <w:pgSz w:w="11906" w:h="16838"/>
          <w:pgMar w:top="1440" w:right="1800" w:bottom="1440" w:left="1800" w:header="851" w:footer="992" w:gutter="0"/>
          <w:cols w:space="720"/>
          <w:docGrid w:type="lines" w:linePitch="312"/>
        </w:sectPr>
      </w:pPr>
    </w:p>
    <w:p w:rsidR="00000000" w:rsidRDefault="00A47D54">
      <w:pPr>
        <w:spacing w:line="560" w:lineRule="exact"/>
        <w:rPr>
          <w:rFonts w:ascii="仿宋" w:eastAsia="仿宋" w:hAnsi="仿宋" w:cs="仿宋" w:hint="eastAsia"/>
          <w:sz w:val="30"/>
          <w:szCs w:val="30"/>
        </w:rPr>
      </w:pPr>
      <w:r>
        <w:rPr>
          <w:rFonts w:ascii="仿宋" w:eastAsia="仿宋" w:hAnsi="仿宋" w:cs="仿宋" w:hint="eastAsia"/>
          <w:sz w:val="30"/>
          <w:szCs w:val="30"/>
        </w:rPr>
        <w:lastRenderedPageBreak/>
        <w:t>附件四</w:t>
      </w:r>
    </w:p>
    <w:p w:rsidR="00000000" w:rsidRDefault="00A47D54">
      <w:pPr>
        <w:tabs>
          <w:tab w:val="left" w:pos="7560"/>
        </w:tabs>
        <w:spacing w:line="480" w:lineRule="auto"/>
        <w:ind w:firstLine="435"/>
        <w:jc w:val="center"/>
        <w:rPr>
          <w:rFonts w:ascii="黑体" w:eastAsia="黑体"/>
          <w:sz w:val="36"/>
          <w:szCs w:val="36"/>
        </w:rPr>
      </w:pPr>
      <w:r>
        <w:rPr>
          <w:rFonts w:ascii="黑体" w:eastAsia="黑体"/>
          <w:sz w:val="36"/>
          <w:szCs w:val="36"/>
          <w:u w:val="single"/>
        </w:rPr>
        <w:t xml:space="preserve"> </w:t>
      </w:r>
      <w:r>
        <w:rPr>
          <w:rFonts w:ascii="黑体" w:eastAsia="黑体" w:hint="eastAsia"/>
          <w:sz w:val="36"/>
          <w:szCs w:val="36"/>
          <w:u w:val="single"/>
        </w:rPr>
        <w:t>201</w:t>
      </w:r>
      <w:r>
        <w:rPr>
          <w:rFonts w:ascii="黑体" w:eastAsia="黑体"/>
          <w:sz w:val="36"/>
          <w:szCs w:val="36"/>
          <w:u w:val="single"/>
        </w:rPr>
        <w:t>7</w:t>
      </w:r>
      <w:r>
        <w:rPr>
          <w:rFonts w:ascii="黑体" w:eastAsia="黑体" w:hint="eastAsia"/>
          <w:sz w:val="36"/>
          <w:szCs w:val="36"/>
          <w:u w:val="single"/>
        </w:rPr>
        <w:t>-2018</w:t>
      </w:r>
      <w:r>
        <w:rPr>
          <w:rFonts w:ascii="黑体" w:eastAsia="黑体" w:hint="eastAsia"/>
          <w:sz w:val="36"/>
          <w:szCs w:val="36"/>
          <w:u w:val="single"/>
        </w:rPr>
        <w:t xml:space="preserve"> </w:t>
      </w:r>
      <w:r>
        <w:rPr>
          <w:rFonts w:ascii="黑体" w:eastAsia="黑体" w:hint="eastAsia"/>
          <w:sz w:val="36"/>
          <w:szCs w:val="36"/>
        </w:rPr>
        <w:t>年</w:t>
      </w:r>
      <w:r>
        <w:rPr>
          <w:rFonts w:ascii="黑体" w:eastAsia="黑体" w:hint="eastAsia"/>
          <w:sz w:val="36"/>
          <w:szCs w:val="36"/>
        </w:rPr>
        <w:t>学生工作队伍</w:t>
      </w:r>
      <w:r>
        <w:rPr>
          <w:rFonts w:ascii="黑体" w:eastAsia="黑体" w:hint="eastAsia"/>
          <w:sz w:val="36"/>
          <w:szCs w:val="36"/>
        </w:rPr>
        <w:t>培训进修计划汇总表</w:t>
      </w:r>
    </w:p>
    <w:p w:rsidR="00000000" w:rsidRDefault="00A47D54">
      <w:pPr>
        <w:tabs>
          <w:tab w:val="left" w:pos="7560"/>
        </w:tabs>
        <w:spacing w:line="360" w:lineRule="auto"/>
        <w:ind w:firstLineChars="200" w:firstLine="480"/>
        <w:rPr>
          <w:rFonts w:ascii="仿宋" w:eastAsia="仿宋" w:hAnsi="仿宋" w:cs="仿宋" w:hint="eastAsia"/>
          <w:sz w:val="24"/>
        </w:rPr>
      </w:pPr>
      <w:r>
        <w:rPr>
          <w:rFonts w:ascii="仿宋" w:eastAsia="仿宋" w:hAnsi="仿宋" w:cs="仿宋" w:hint="eastAsia"/>
          <w:sz w:val="24"/>
        </w:rPr>
        <w:t>学院</w:t>
      </w:r>
      <w:r>
        <w:rPr>
          <w:rFonts w:ascii="仿宋" w:eastAsia="仿宋" w:hAnsi="仿宋" w:cs="仿宋" w:hint="eastAsia"/>
          <w:sz w:val="24"/>
        </w:rPr>
        <w:t>：（盖章）</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
        <w:gridCol w:w="812"/>
        <w:gridCol w:w="1057"/>
        <w:gridCol w:w="1255"/>
        <w:gridCol w:w="1243"/>
        <w:gridCol w:w="1525"/>
        <w:gridCol w:w="2714"/>
        <w:gridCol w:w="2292"/>
        <w:gridCol w:w="2292"/>
      </w:tblGrid>
      <w:tr w:rsidR="00000000">
        <w:trPr>
          <w:trHeight w:val="925"/>
          <w:jc w:val="center"/>
        </w:trPr>
        <w:tc>
          <w:tcPr>
            <w:tcW w:w="984"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姓</w:t>
            </w:r>
            <w:r>
              <w:rPr>
                <w:rFonts w:ascii="仿宋" w:eastAsia="仿宋" w:hAnsi="仿宋" w:cs="仿宋" w:hint="eastAsia"/>
                <w:szCs w:val="21"/>
              </w:rPr>
              <w:t xml:space="preserve">   </w:t>
            </w:r>
            <w:r>
              <w:rPr>
                <w:rFonts w:ascii="仿宋" w:eastAsia="仿宋" w:hAnsi="仿宋" w:cs="仿宋" w:hint="eastAsia"/>
                <w:szCs w:val="21"/>
              </w:rPr>
              <w:t>名</w:t>
            </w:r>
          </w:p>
        </w:tc>
        <w:tc>
          <w:tcPr>
            <w:tcW w:w="812" w:type="dxa"/>
            <w:vAlign w:val="center"/>
          </w:tcPr>
          <w:p w:rsidR="00000000" w:rsidRDefault="00A47D54">
            <w:pPr>
              <w:tabs>
                <w:tab w:val="left" w:pos="7560"/>
              </w:tabs>
              <w:jc w:val="left"/>
              <w:rPr>
                <w:rFonts w:ascii="仿宋" w:eastAsia="仿宋" w:hAnsi="仿宋" w:cs="仿宋" w:hint="eastAsia"/>
                <w:szCs w:val="21"/>
              </w:rPr>
            </w:pPr>
            <w:r>
              <w:rPr>
                <w:rFonts w:ascii="仿宋" w:eastAsia="仿宋" w:hAnsi="仿宋" w:cs="仿宋" w:hint="eastAsia"/>
                <w:szCs w:val="21"/>
              </w:rPr>
              <w:t>出生</w:t>
            </w:r>
            <w:r>
              <w:rPr>
                <w:rFonts w:ascii="仿宋" w:eastAsia="仿宋" w:hAnsi="仿宋" w:cs="仿宋" w:hint="eastAsia"/>
                <w:szCs w:val="21"/>
              </w:rPr>
              <w:t>日期</w:t>
            </w:r>
            <w:r>
              <w:rPr>
                <w:rFonts w:ascii="仿宋" w:eastAsia="仿宋" w:hAnsi="仿宋" w:cs="仿宋" w:hint="eastAsia"/>
                <w:szCs w:val="21"/>
                <w:vertAlign w:val="superscript"/>
              </w:rPr>
              <w:t>1</w:t>
            </w:r>
          </w:p>
        </w:tc>
        <w:tc>
          <w:tcPr>
            <w:tcW w:w="1057"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现职称</w:t>
            </w:r>
          </w:p>
        </w:tc>
        <w:tc>
          <w:tcPr>
            <w:tcW w:w="1255"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本科就读专业</w:t>
            </w:r>
          </w:p>
        </w:tc>
        <w:tc>
          <w:tcPr>
            <w:tcW w:w="1243"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研究生</w:t>
            </w:r>
          </w:p>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就读</w:t>
            </w:r>
            <w:r>
              <w:rPr>
                <w:rFonts w:ascii="仿宋" w:eastAsia="仿宋" w:hAnsi="仿宋" w:cs="仿宋" w:hint="eastAsia"/>
                <w:szCs w:val="21"/>
              </w:rPr>
              <w:t>专业</w:t>
            </w:r>
          </w:p>
        </w:tc>
        <w:tc>
          <w:tcPr>
            <w:tcW w:w="1525"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毕业学校</w:t>
            </w:r>
          </w:p>
        </w:tc>
        <w:tc>
          <w:tcPr>
            <w:tcW w:w="2714"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2016</w:t>
            </w:r>
            <w:r>
              <w:rPr>
                <w:rFonts w:ascii="仿宋" w:eastAsia="仿宋" w:hAnsi="仿宋" w:cs="仿宋" w:hint="eastAsia"/>
                <w:szCs w:val="21"/>
              </w:rPr>
              <w:t>年</w:t>
            </w:r>
          </w:p>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主要培训进修情况</w:t>
            </w:r>
          </w:p>
        </w:tc>
        <w:tc>
          <w:tcPr>
            <w:tcW w:w="2292"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2017</w:t>
            </w:r>
            <w:r>
              <w:rPr>
                <w:rFonts w:ascii="仿宋" w:eastAsia="仿宋" w:hAnsi="仿宋" w:cs="仿宋" w:hint="eastAsia"/>
                <w:szCs w:val="21"/>
              </w:rPr>
              <w:t>年</w:t>
            </w:r>
          </w:p>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拟培训进修项目</w:t>
            </w:r>
            <w:r>
              <w:rPr>
                <w:rFonts w:ascii="仿宋" w:eastAsia="仿宋" w:hAnsi="仿宋" w:cs="仿宋" w:hint="eastAsia"/>
                <w:szCs w:val="21"/>
                <w:vertAlign w:val="superscript"/>
              </w:rPr>
              <w:t>2</w:t>
            </w:r>
          </w:p>
        </w:tc>
        <w:tc>
          <w:tcPr>
            <w:tcW w:w="2292" w:type="dxa"/>
            <w:vAlign w:val="center"/>
          </w:tcPr>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2018</w:t>
            </w:r>
            <w:r>
              <w:rPr>
                <w:rFonts w:ascii="仿宋" w:eastAsia="仿宋" w:hAnsi="仿宋" w:cs="仿宋" w:hint="eastAsia"/>
                <w:szCs w:val="21"/>
              </w:rPr>
              <w:t>年</w:t>
            </w:r>
          </w:p>
          <w:p w:rsidR="00000000" w:rsidRDefault="00A47D54">
            <w:pPr>
              <w:tabs>
                <w:tab w:val="left" w:pos="7560"/>
              </w:tabs>
              <w:jc w:val="center"/>
              <w:rPr>
                <w:rFonts w:ascii="仿宋" w:eastAsia="仿宋" w:hAnsi="仿宋" w:cs="仿宋" w:hint="eastAsia"/>
                <w:szCs w:val="21"/>
              </w:rPr>
            </w:pPr>
            <w:r>
              <w:rPr>
                <w:rFonts w:ascii="仿宋" w:eastAsia="仿宋" w:hAnsi="仿宋" w:cs="仿宋" w:hint="eastAsia"/>
                <w:szCs w:val="21"/>
              </w:rPr>
              <w:t>拟培训进修项目</w:t>
            </w:r>
            <w:r>
              <w:rPr>
                <w:rFonts w:ascii="仿宋" w:eastAsia="仿宋" w:hAnsi="仿宋" w:cs="仿宋" w:hint="eastAsia"/>
                <w:szCs w:val="21"/>
                <w:vertAlign w:val="superscript"/>
              </w:rPr>
              <w:t>3</w:t>
            </w:r>
          </w:p>
        </w:tc>
      </w:tr>
      <w:tr w:rsidR="00000000">
        <w:trPr>
          <w:trHeight w:val="615"/>
          <w:jc w:val="center"/>
        </w:trPr>
        <w:tc>
          <w:tcPr>
            <w:tcW w:w="984" w:type="dxa"/>
            <w:vAlign w:val="center"/>
          </w:tcPr>
          <w:p w:rsidR="00000000" w:rsidRDefault="00A47D54">
            <w:pPr>
              <w:tabs>
                <w:tab w:val="left" w:pos="7560"/>
              </w:tabs>
              <w:spacing w:line="360" w:lineRule="auto"/>
              <w:rPr>
                <w:rFonts w:hint="eastAsia"/>
                <w:sz w:val="24"/>
              </w:rPr>
            </w:pPr>
          </w:p>
        </w:tc>
        <w:tc>
          <w:tcPr>
            <w:tcW w:w="812" w:type="dxa"/>
            <w:vAlign w:val="center"/>
          </w:tcPr>
          <w:p w:rsidR="00000000" w:rsidRDefault="00A47D54">
            <w:pPr>
              <w:tabs>
                <w:tab w:val="left" w:pos="7560"/>
              </w:tabs>
              <w:spacing w:line="360" w:lineRule="auto"/>
              <w:rPr>
                <w:rFonts w:hint="eastAsia"/>
                <w:sz w:val="24"/>
              </w:rPr>
            </w:pPr>
          </w:p>
        </w:tc>
        <w:tc>
          <w:tcPr>
            <w:tcW w:w="1057" w:type="dxa"/>
            <w:vAlign w:val="center"/>
          </w:tcPr>
          <w:p w:rsidR="00000000" w:rsidRDefault="00A47D54">
            <w:pPr>
              <w:tabs>
                <w:tab w:val="left" w:pos="7560"/>
              </w:tabs>
              <w:spacing w:line="360" w:lineRule="auto"/>
              <w:rPr>
                <w:rFonts w:hint="eastAsia"/>
                <w:sz w:val="24"/>
              </w:rPr>
            </w:pPr>
          </w:p>
        </w:tc>
        <w:tc>
          <w:tcPr>
            <w:tcW w:w="1255" w:type="dxa"/>
            <w:vAlign w:val="center"/>
          </w:tcPr>
          <w:p w:rsidR="00000000" w:rsidRDefault="00A47D54">
            <w:pPr>
              <w:tabs>
                <w:tab w:val="left" w:pos="7560"/>
              </w:tabs>
              <w:spacing w:line="360" w:lineRule="auto"/>
              <w:rPr>
                <w:rFonts w:hint="eastAsia"/>
                <w:sz w:val="24"/>
              </w:rPr>
            </w:pPr>
          </w:p>
        </w:tc>
        <w:tc>
          <w:tcPr>
            <w:tcW w:w="1243" w:type="dxa"/>
            <w:vAlign w:val="center"/>
          </w:tcPr>
          <w:p w:rsidR="00000000" w:rsidRDefault="00A47D54">
            <w:pPr>
              <w:tabs>
                <w:tab w:val="left" w:pos="7560"/>
              </w:tabs>
              <w:spacing w:line="360" w:lineRule="auto"/>
              <w:rPr>
                <w:rFonts w:hint="eastAsia"/>
                <w:sz w:val="24"/>
              </w:rPr>
            </w:pPr>
          </w:p>
        </w:tc>
        <w:tc>
          <w:tcPr>
            <w:tcW w:w="1525" w:type="dxa"/>
            <w:vAlign w:val="center"/>
          </w:tcPr>
          <w:p w:rsidR="00000000" w:rsidRDefault="00A47D54">
            <w:pPr>
              <w:tabs>
                <w:tab w:val="left" w:pos="7560"/>
              </w:tabs>
              <w:spacing w:line="360" w:lineRule="auto"/>
              <w:rPr>
                <w:rFonts w:hint="eastAsia"/>
                <w:sz w:val="24"/>
              </w:rPr>
            </w:pPr>
          </w:p>
        </w:tc>
        <w:tc>
          <w:tcPr>
            <w:tcW w:w="2714"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rFonts w:hint="eastAsia"/>
                <w:szCs w:val="21"/>
              </w:rPr>
            </w:pPr>
          </w:p>
        </w:tc>
        <w:tc>
          <w:tcPr>
            <w:tcW w:w="2292" w:type="dxa"/>
            <w:vAlign w:val="center"/>
          </w:tcPr>
          <w:p w:rsidR="00000000" w:rsidRDefault="00A47D54">
            <w:pPr>
              <w:tabs>
                <w:tab w:val="left" w:pos="7560"/>
              </w:tabs>
              <w:spacing w:line="360" w:lineRule="auto"/>
              <w:rPr>
                <w:rFonts w:hint="eastAsia"/>
                <w:szCs w:val="21"/>
              </w:rPr>
            </w:pPr>
          </w:p>
        </w:tc>
      </w:tr>
      <w:tr w:rsidR="00000000">
        <w:trPr>
          <w:trHeight w:val="615"/>
          <w:jc w:val="center"/>
        </w:trPr>
        <w:tc>
          <w:tcPr>
            <w:tcW w:w="984" w:type="dxa"/>
            <w:vAlign w:val="center"/>
          </w:tcPr>
          <w:p w:rsidR="00000000" w:rsidRDefault="00A47D54">
            <w:pPr>
              <w:tabs>
                <w:tab w:val="left" w:pos="7560"/>
              </w:tabs>
              <w:spacing w:line="360" w:lineRule="auto"/>
              <w:rPr>
                <w:rFonts w:hint="eastAsia"/>
                <w:sz w:val="24"/>
              </w:rPr>
            </w:pPr>
          </w:p>
        </w:tc>
        <w:tc>
          <w:tcPr>
            <w:tcW w:w="812" w:type="dxa"/>
            <w:vAlign w:val="center"/>
          </w:tcPr>
          <w:p w:rsidR="00000000" w:rsidRDefault="00A47D54">
            <w:pPr>
              <w:tabs>
                <w:tab w:val="left" w:pos="7560"/>
              </w:tabs>
              <w:spacing w:line="360" w:lineRule="auto"/>
              <w:rPr>
                <w:rFonts w:hint="eastAsia"/>
                <w:sz w:val="24"/>
              </w:rPr>
            </w:pPr>
          </w:p>
        </w:tc>
        <w:tc>
          <w:tcPr>
            <w:tcW w:w="1057" w:type="dxa"/>
            <w:vAlign w:val="center"/>
          </w:tcPr>
          <w:p w:rsidR="00000000" w:rsidRDefault="00A47D54">
            <w:pPr>
              <w:tabs>
                <w:tab w:val="left" w:pos="7560"/>
              </w:tabs>
              <w:spacing w:line="360" w:lineRule="auto"/>
              <w:rPr>
                <w:sz w:val="24"/>
              </w:rPr>
            </w:pPr>
          </w:p>
        </w:tc>
        <w:tc>
          <w:tcPr>
            <w:tcW w:w="1255" w:type="dxa"/>
            <w:vAlign w:val="center"/>
          </w:tcPr>
          <w:p w:rsidR="00000000" w:rsidRDefault="00A47D54">
            <w:pPr>
              <w:tabs>
                <w:tab w:val="left" w:pos="7560"/>
              </w:tabs>
              <w:spacing w:line="360" w:lineRule="auto"/>
              <w:rPr>
                <w:sz w:val="24"/>
              </w:rPr>
            </w:pPr>
          </w:p>
        </w:tc>
        <w:tc>
          <w:tcPr>
            <w:tcW w:w="1243" w:type="dxa"/>
            <w:vAlign w:val="center"/>
          </w:tcPr>
          <w:p w:rsidR="00000000" w:rsidRDefault="00A47D54">
            <w:pPr>
              <w:tabs>
                <w:tab w:val="left" w:pos="7560"/>
              </w:tabs>
              <w:spacing w:line="360" w:lineRule="auto"/>
              <w:rPr>
                <w:sz w:val="24"/>
              </w:rPr>
            </w:pPr>
          </w:p>
        </w:tc>
        <w:tc>
          <w:tcPr>
            <w:tcW w:w="1525" w:type="dxa"/>
            <w:vAlign w:val="center"/>
          </w:tcPr>
          <w:p w:rsidR="00000000" w:rsidRDefault="00A47D54">
            <w:pPr>
              <w:tabs>
                <w:tab w:val="left" w:pos="7560"/>
              </w:tabs>
              <w:spacing w:line="360" w:lineRule="auto"/>
              <w:rPr>
                <w:sz w:val="24"/>
              </w:rPr>
            </w:pPr>
          </w:p>
        </w:tc>
        <w:tc>
          <w:tcPr>
            <w:tcW w:w="2714"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r>
      <w:tr w:rsidR="00000000">
        <w:trPr>
          <w:trHeight w:val="615"/>
          <w:jc w:val="center"/>
        </w:trPr>
        <w:tc>
          <w:tcPr>
            <w:tcW w:w="984" w:type="dxa"/>
            <w:vAlign w:val="center"/>
          </w:tcPr>
          <w:p w:rsidR="00000000" w:rsidRDefault="00A47D54">
            <w:pPr>
              <w:tabs>
                <w:tab w:val="left" w:pos="7560"/>
              </w:tabs>
              <w:spacing w:line="360" w:lineRule="auto"/>
              <w:rPr>
                <w:rFonts w:hint="eastAsia"/>
                <w:sz w:val="24"/>
              </w:rPr>
            </w:pPr>
          </w:p>
        </w:tc>
        <w:tc>
          <w:tcPr>
            <w:tcW w:w="812" w:type="dxa"/>
            <w:vAlign w:val="center"/>
          </w:tcPr>
          <w:p w:rsidR="00000000" w:rsidRDefault="00A47D54">
            <w:pPr>
              <w:tabs>
                <w:tab w:val="left" w:pos="7560"/>
              </w:tabs>
              <w:spacing w:line="360" w:lineRule="auto"/>
              <w:rPr>
                <w:rFonts w:hint="eastAsia"/>
                <w:sz w:val="24"/>
              </w:rPr>
            </w:pPr>
          </w:p>
        </w:tc>
        <w:tc>
          <w:tcPr>
            <w:tcW w:w="1057" w:type="dxa"/>
            <w:vAlign w:val="center"/>
          </w:tcPr>
          <w:p w:rsidR="00000000" w:rsidRDefault="00A47D54">
            <w:pPr>
              <w:tabs>
                <w:tab w:val="left" w:pos="7560"/>
              </w:tabs>
              <w:spacing w:line="360" w:lineRule="auto"/>
              <w:rPr>
                <w:rFonts w:hint="eastAsia"/>
                <w:sz w:val="24"/>
              </w:rPr>
            </w:pPr>
          </w:p>
        </w:tc>
        <w:tc>
          <w:tcPr>
            <w:tcW w:w="1255" w:type="dxa"/>
            <w:vAlign w:val="center"/>
          </w:tcPr>
          <w:p w:rsidR="00000000" w:rsidRDefault="00A47D54">
            <w:pPr>
              <w:tabs>
                <w:tab w:val="left" w:pos="7560"/>
              </w:tabs>
              <w:spacing w:line="360" w:lineRule="auto"/>
              <w:rPr>
                <w:rFonts w:hint="eastAsia"/>
                <w:sz w:val="24"/>
              </w:rPr>
            </w:pPr>
          </w:p>
        </w:tc>
        <w:tc>
          <w:tcPr>
            <w:tcW w:w="1243" w:type="dxa"/>
            <w:vAlign w:val="center"/>
          </w:tcPr>
          <w:p w:rsidR="00000000" w:rsidRDefault="00A47D54">
            <w:pPr>
              <w:tabs>
                <w:tab w:val="left" w:pos="7560"/>
              </w:tabs>
              <w:spacing w:line="360" w:lineRule="auto"/>
              <w:rPr>
                <w:rFonts w:hint="eastAsia"/>
                <w:sz w:val="24"/>
              </w:rPr>
            </w:pPr>
          </w:p>
        </w:tc>
        <w:tc>
          <w:tcPr>
            <w:tcW w:w="1525" w:type="dxa"/>
            <w:vAlign w:val="center"/>
          </w:tcPr>
          <w:p w:rsidR="00000000" w:rsidRDefault="00A47D54">
            <w:pPr>
              <w:tabs>
                <w:tab w:val="left" w:pos="7560"/>
              </w:tabs>
              <w:spacing w:line="360" w:lineRule="auto"/>
              <w:rPr>
                <w:rFonts w:hint="eastAsia"/>
                <w:sz w:val="24"/>
              </w:rPr>
            </w:pPr>
          </w:p>
        </w:tc>
        <w:tc>
          <w:tcPr>
            <w:tcW w:w="2714"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r>
      <w:tr w:rsidR="00000000">
        <w:trPr>
          <w:trHeight w:val="615"/>
          <w:jc w:val="center"/>
        </w:trPr>
        <w:tc>
          <w:tcPr>
            <w:tcW w:w="984" w:type="dxa"/>
            <w:vAlign w:val="center"/>
          </w:tcPr>
          <w:p w:rsidR="00000000" w:rsidRDefault="00A47D54">
            <w:pPr>
              <w:tabs>
                <w:tab w:val="left" w:pos="7560"/>
              </w:tabs>
              <w:spacing w:line="360" w:lineRule="auto"/>
              <w:rPr>
                <w:sz w:val="24"/>
              </w:rPr>
            </w:pPr>
          </w:p>
        </w:tc>
        <w:tc>
          <w:tcPr>
            <w:tcW w:w="812" w:type="dxa"/>
            <w:vAlign w:val="center"/>
          </w:tcPr>
          <w:p w:rsidR="00000000" w:rsidRDefault="00A47D54">
            <w:pPr>
              <w:tabs>
                <w:tab w:val="left" w:pos="7560"/>
              </w:tabs>
              <w:spacing w:line="360" w:lineRule="auto"/>
              <w:rPr>
                <w:sz w:val="24"/>
              </w:rPr>
            </w:pPr>
          </w:p>
        </w:tc>
        <w:tc>
          <w:tcPr>
            <w:tcW w:w="1057" w:type="dxa"/>
            <w:vAlign w:val="center"/>
          </w:tcPr>
          <w:p w:rsidR="00000000" w:rsidRDefault="00A47D54">
            <w:pPr>
              <w:tabs>
                <w:tab w:val="left" w:pos="7560"/>
              </w:tabs>
              <w:spacing w:line="360" w:lineRule="auto"/>
              <w:rPr>
                <w:sz w:val="24"/>
              </w:rPr>
            </w:pPr>
          </w:p>
        </w:tc>
        <w:tc>
          <w:tcPr>
            <w:tcW w:w="1255" w:type="dxa"/>
            <w:vAlign w:val="center"/>
          </w:tcPr>
          <w:p w:rsidR="00000000" w:rsidRDefault="00A47D54">
            <w:pPr>
              <w:tabs>
                <w:tab w:val="left" w:pos="7560"/>
              </w:tabs>
              <w:spacing w:line="360" w:lineRule="auto"/>
              <w:rPr>
                <w:sz w:val="24"/>
              </w:rPr>
            </w:pPr>
          </w:p>
        </w:tc>
        <w:tc>
          <w:tcPr>
            <w:tcW w:w="1243" w:type="dxa"/>
            <w:vAlign w:val="center"/>
          </w:tcPr>
          <w:p w:rsidR="00000000" w:rsidRDefault="00A47D54">
            <w:pPr>
              <w:tabs>
                <w:tab w:val="left" w:pos="7560"/>
              </w:tabs>
              <w:spacing w:line="360" w:lineRule="auto"/>
              <w:rPr>
                <w:sz w:val="24"/>
              </w:rPr>
            </w:pPr>
          </w:p>
        </w:tc>
        <w:tc>
          <w:tcPr>
            <w:tcW w:w="1525" w:type="dxa"/>
            <w:vAlign w:val="center"/>
          </w:tcPr>
          <w:p w:rsidR="00000000" w:rsidRDefault="00A47D54">
            <w:pPr>
              <w:tabs>
                <w:tab w:val="left" w:pos="7560"/>
              </w:tabs>
              <w:spacing w:line="360" w:lineRule="auto"/>
              <w:rPr>
                <w:sz w:val="24"/>
              </w:rPr>
            </w:pPr>
          </w:p>
        </w:tc>
        <w:tc>
          <w:tcPr>
            <w:tcW w:w="2714"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r>
      <w:tr w:rsidR="00000000">
        <w:trPr>
          <w:trHeight w:val="615"/>
          <w:jc w:val="center"/>
        </w:trPr>
        <w:tc>
          <w:tcPr>
            <w:tcW w:w="984" w:type="dxa"/>
            <w:vAlign w:val="center"/>
          </w:tcPr>
          <w:p w:rsidR="00000000" w:rsidRDefault="00A47D54">
            <w:pPr>
              <w:tabs>
                <w:tab w:val="left" w:pos="7560"/>
              </w:tabs>
              <w:spacing w:line="360" w:lineRule="auto"/>
              <w:rPr>
                <w:sz w:val="24"/>
              </w:rPr>
            </w:pPr>
          </w:p>
        </w:tc>
        <w:tc>
          <w:tcPr>
            <w:tcW w:w="812" w:type="dxa"/>
            <w:vAlign w:val="center"/>
          </w:tcPr>
          <w:p w:rsidR="00000000" w:rsidRDefault="00A47D54">
            <w:pPr>
              <w:tabs>
                <w:tab w:val="left" w:pos="7560"/>
              </w:tabs>
              <w:spacing w:line="360" w:lineRule="auto"/>
              <w:rPr>
                <w:sz w:val="24"/>
              </w:rPr>
            </w:pPr>
          </w:p>
        </w:tc>
        <w:tc>
          <w:tcPr>
            <w:tcW w:w="1057" w:type="dxa"/>
            <w:vAlign w:val="center"/>
          </w:tcPr>
          <w:p w:rsidR="00000000" w:rsidRDefault="00A47D54">
            <w:pPr>
              <w:tabs>
                <w:tab w:val="left" w:pos="7560"/>
              </w:tabs>
              <w:spacing w:line="360" w:lineRule="auto"/>
              <w:rPr>
                <w:sz w:val="24"/>
              </w:rPr>
            </w:pPr>
          </w:p>
        </w:tc>
        <w:tc>
          <w:tcPr>
            <w:tcW w:w="1255" w:type="dxa"/>
            <w:vAlign w:val="center"/>
          </w:tcPr>
          <w:p w:rsidR="00000000" w:rsidRDefault="00A47D54">
            <w:pPr>
              <w:tabs>
                <w:tab w:val="left" w:pos="7560"/>
              </w:tabs>
              <w:spacing w:line="360" w:lineRule="auto"/>
              <w:rPr>
                <w:sz w:val="24"/>
              </w:rPr>
            </w:pPr>
          </w:p>
        </w:tc>
        <w:tc>
          <w:tcPr>
            <w:tcW w:w="1243" w:type="dxa"/>
            <w:vAlign w:val="center"/>
          </w:tcPr>
          <w:p w:rsidR="00000000" w:rsidRDefault="00A47D54">
            <w:pPr>
              <w:tabs>
                <w:tab w:val="left" w:pos="7560"/>
              </w:tabs>
              <w:spacing w:line="360" w:lineRule="auto"/>
              <w:rPr>
                <w:sz w:val="24"/>
              </w:rPr>
            </w:pPr>
          </w:p>
        </w:tc>
        <w:tc>
          <w:tcPr>
            <w:tcW w:w="1525" w:type="dxa"/>
            <w:vAlign w:val="center"/>
          </w:tcPr>
          <w:p w:rsidR="00000000" w:rsidRDefault="00A47D54">
            <w:pPr>
              <w:tabs>
                <w:tab w:val="left" w:pos="7560"/>
              </w:tabs>
              <w:spacing w:line="360" w:lineRule="auto"/>
              <w:rPr>
                <w:sz w:val="24"/>
              </w:rPr>
            </w:pPr>
          </w:p>
        </w:tc>
        <w:tc>
          <w:tcPr>
            <w:tcW w:w="2714"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r>
      <w:tr w:rsidR="00000000">
        <w:trPr>
          <w:trHeight w:val="615"/>
          <w:jc w:val="center"/>
        </w:trPr>
        <w:tc>
          <w:tcPr>
            <w:tcW w:w="984" w:type="dxa"/>
            <w:vAlign w:val="center"/>
          </w:tcPr>
          <w:p w:rsidR="00000000" w:rsidRDefault="00A47D54">
            <w:pPr>
              <w:tabs>
                <w:tab w:val="left" w:pos="7560"/>
              </w:tabs>
              <w:spacing w:line="360" w:lineRule="auto"/>
              <w:rPr>
                <w:sz w:val="24"/>
              </w:rPr>
            </w:pPr>
          </w:p>
        </w:tc>
        <w:tc>
          <w:tcPr>
            <w:tcW w:w="812" w:type="dxa"/>
            <w:vAlign w:val="center"/>
          </w:tcPr>
          <w:p w:rsidR="00000000" w:rsidRDefault="00A47D54">
            <w:pPr>
              <w:tabs>
                <w:tab w:val="left" w:pos="7560"/>
              </w:tabs>
              <w:spacing w:line="360" w:lineRule="auto"/>
              <w:rPr>
                <w:sz w:val="24"/>
              </w:rPr>
            </w:pPr>
          </w:p>
        </w:tc>
        <w:tc>
          <w:tcPr>
            <w:tcW w:w="1057" w:type="dxa"/>
            <w:vAlign w:val="center"/>
          </w:tcPr>
          <w:p w:rsidR="00000000" w:rsidRDefault="00A47D54">
            <w:pPr>
              <w:tabs>
                <w:tab w:val="left" w:pos="7560"/>
              </w:tabs>
              <w:spacing w:line="360" w:lineRule="auto"/>
              <w:rPr>
                <w:sz w:val="24"/>
              </w:rPr>
            </w:pPr>
          </w:p>
        </w:tc>
        <w:tc>
          <w:tcPr>
            <w:tcW w:w="1255" w:type="dxa"/>
            <w:vAlign w:val="center"/>
          </w:tcPr>
          <w:p w:rsidR="00000000" w:rsidRDefault="00A47D54">
            <w:pPr>
              <w:tabs>
                <w:tab w:val="left" w:pos="7560"/>
              </w:tabs>
              <w:spacing w:line="360" w:lineRule="auto"/>
              <w:rPr>
                <w:sz w:val="24"/>
              </w:rPr>
            </w:pPr>
          </w:p>
        </w:tc>
        <w:tc>
          <w:tcPr>
            <w:tcW w:w="1243" w:type="dxa"/>
            <w:vAlign w:val="center"/>
          </w:tcPr>
          <w:p w:rsidR="00000000" w:rsidRDefault="00A47D54">
            <w:pPr>
              <w:tabs>
                <w:tab w:val="left" w:pos="7560"/>
              </w:tabs>
              <w:spacing w:line="360" w:lineRule="auto"/>
              <w:rPr>
                <w:sz w:val="24"/>
              </w:rPr>
            </w:pPr>
          </w:p>
        </w:tc>
        <w:tc>
          <w:tcPr>
            <w:tcW w:w="1525" w:type="dxa"/>
            <w:vAlign w:val="center"/>
          </w:tcPr>
          <w:p w:rsidR="00000000" w:rsidRDefault="00A47D54">
            <w:pPr>
              <w:tabs>
                <w:tab w:val="left" w:pos="7560"/>
              </w:tabs>
              <w:spacing w:line="360" w:lineRule="auto"/>
              <w:rPr>
                <w:sz w:val="24"/>
              </w:rPr>
            </w:pPr>
          </w:p>
        </w:tc>
        <w:tc>
          <w:tcPr>
            <w:tcW w:w="2714"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c>
          <w:tcPr>
            <w:tcW w:w="2292" w:type="dxa"/>
            <w:vAlign w:val="center"/>
          </w:tcPr>
          <w:p w:rsidR="00000000" w:rsidRDefault="00A47D54">
            <w:pPr>
              <w:tabs>
                <w:tab w:val="left" w:pos="7560"/>
              </w:tabs>
              <w:spacing w:line="360" w:lineRule="auto"/>
              <w:rPr>
                <w:sz w:val="24"/>
              </w:rPr>
            </w:pPr>
          </w:p>
        </w:tc>
      </w:tr>
    </w:tbl>
    <w:p w:rsidR="00000000" w:rsidRDefault="00A47D54">
      <w:pPr>
        <w:tabs>
          <w:tab w:val="left" w:pos="7560"/>
        </w:tabs>
        <w:spacing w:beforeLines="50" w:line="360" w:lineRule="auto"/>
        <w:jc w:val="left"/>
        <w:rPr>
          <w:rFonts w:ascii="仿宋" w:eastAsia="仿宋" w:hAnsi="仿宋" w:hint="eastAsia"/>
          <w:szCs w:val="21"/>
        </w:rPr>
      </w:pPr>
      <w:r>
        <w:rPr>
          <w:rFonts w:ascii="仿宋" w:eastAsia="仿宋" w:hAnsi="仿宋" w:hint="eastAsia"/>
          <w:szCs w:val="21"/>
        </w:rPr>
        <w:t>注：</w:t>
      </w:r>
      <w:r>
        <w:rPr>
          <w:rFonts w:ascii="仿宋" w:eastAsia="仿宋" w:hAnsi="仿宋" w:hint="eastAsia"/>
          <w:szCs w:val="21"/>
        </w:rPr>
        <w:t>1</w:t>
      </w:r>
      <w:r>
        <w:rPr>
          <w:rFonts w:ascii="仿宋" w:eastAsia="仿宋" w:hAnsi="仿宋" w:hint="eastAsia"/>
          <w:szCs w:val="21"/>
        </w:rPr>
        <w:t>、出生年月格式，如</w:t>
      </w:r>
      <w:r>
        <w:rPr>
          <w:rFonts w:ascii="仿宋" w:eastAsia="仿宋" w:hAnsi="仿宋" w:hint="eastAsia"/>
          <w:szCs w:val="21"/>
        </w:rPr>
        <w:t>20150101</w:t>
      </w:r>
      <w:r>
        <w:rPr>
          <w:rFonts w:ascii="仿宋" w:eastAsia="仿宋" w:hAnsi="仿宋" w:hint="eastAsia"/>
          <w:szCs w:val="21"/>
        </w:rPr>
        <w:t>；</w:t>
      </w:r>
    </w:p>
    <w:p w:rsidR="00A47D54" w:rsidRDefault="00A47D54">
      <w:pPr>
        <w:tabs>
          <w:tab w:val="left" w:pos="7560"/>
        </w:tabs>
        <w:ind w:firstLineChars="200" w:firstLine="420"/>
        <w:jc w:val="left"/>
        <w:rPr>
          <w:rFonts w:ascii="方正小标宋_GBK" w:eastAsia="方正小标宋_GBK" w:hAnsi="方正小标宋_GBK" w:cs="方正小标宋_GBK" w:hint="eastAsia"/>
          <w:sz w:val="36"/>
          <w:szCs w:val="36"/>
        </w:rPr>
      </w:pPr>
      <w:r>
        <w:rPr>
          <w:rFonts w:ascii="仿宋" w:eastAsia="仿宋" w:hAnsi="仿宋" w:hint="eastAsia"/>
          <w:szCs w:val="21"/>
        </w:rPr>
        <w:t>2</w:t>
      </w:r>
      <w:r>
        <w:rPr>
          <w:rFonts w:ascii="仿宋" w:eastAsia="仿宋" w:hAnsi="仿宋" w:hint="eastAsia"/>
          <w:szCs w:val="21"/>
        </w:rPr>
        <w:t>、拟培训进修项目：填写报考博士研究生</w:t>
      </w:r>
      <w:r>
        <w:rPr>
          <w:rFonts w:ascii="仿宋" w:eastAsia="仿宋" w:hAnsi="仿宋" w:hint="eastAsia"/>
          <w:szCs w:val="21"/>
        </w:rPr>
        <w:t>、</w:t>
      </w:r>
      <w:r>
        <w:rPr>
          <w:rFonts w:ascii="仿宋" w:eastAsia="仿宋" w:hAnsi="仿宋" w:hint="eastAsia"/>
          <w:szCs w:val="21"/>
        </w:rPr>
        <w:t>报考硕士研究生以及其他培训进修形式</w:t>
      </w:r>
      <w:r>
        <w:rPr>
          <w:rFonts w:ascii="仿宋" w:eastAsia="仿宋" w:hAnsi="仿宋" w:hint="eastAsia"/>
          <w:szCs w:val="21"/>
        </w:rPr>
        <w:t>。</w:t>
      </w:r>
    </w:p>
    <w:sectPr w:rsidR="00A47D54">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420"/>
  <w:drawingGridHorizontalSpacing w:val="0"/>
  <w:drawingGridVerticalSpacing w:val="156"/>
  <w:noPunctuationKerning/>
  <w:characterSpacingControl w:val="compressPunctuation"/>
  <w:doNotValidateAgainstSchema/>
  <w:doNotDemarcateInvalidXml/>
  <w:compat>
    <w:spaceForUL/>
    <w:balanceSingleByteDoubleByteWidth/>
    <w:doNotLeaveBackslashAlone/>
    <w:ulTrailSpace/>
    <w:adjustLineHeightInTable/>
    <w:useFELayout/>
  </w:compat>
  <w:rsids>
    <w:rsidRoot w:val="00172A27"/>
    <w:rsid w:val="00261991"/>
    <w:rsid w:val="00A47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Default">
    <w:name w:val="Default"/>
    <w:pPr>
      <w:widowControl w:val="0"/>
      <w:autoSpaceDE w:val="0"/>
      <w:autoSpaceDN w:val="0"/>
      <w:adjustRightInd w:val="0"/>
    </w:pPr>
    <w:rPr>
      <w:rFonts w:ascii="方正小标宋_GBK" w:eastAsia="方正小标宋_GBK" w:hAnsi="方正小标宋_GBK" w:cs="黑体" w:hint="eastAsia"/>
      <w:color w:val="00000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905</Words>
  <Characters>5162</Characters>
  <Application>Microsoft Office Word</Application>
  <DocSecurity>0</DocSecurity>
  <PresentationFormat/>
  <Lines>43</Lines>
  <Paragraphs>12</Paragraphs>
  <Slides>0</Slides>
  <Notes>0</Notes>
  <HiddenSlides>0</HiddenSlides>
  <MMClips>0</MMClips>
  <ScaleCrop>false</ScaleCrop>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沈静</dc:title>
  <dc:creator>沈静</dc:creator>
  <cp:lastModifiedBy>杨丹</cp:lastModifiedBy>
  <cp:revision>2</cp:revision>
  <cp:lastPrinted>2017-03-31T05:28:55Z</cp:lastPrinted>
  <dcterms:created xsi:type="dcterms:W3CDTF">2017-04-12T00:29:00Z</dcterms:created>
  <dcterms:modified xsi:type="dcterms:W3CDTF">2017-04-12T00:29:00Z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